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97D3" w14:textId="77777777" w:rsidR="00A82BC6" w:rsidRPr="00DA39E1" w:rsidRDefault="00A82BC6" w:rsidP="00A82BC6">
      <w:pPr>
        <w:tabs>
          <w:tab w:val="left" w:pos="9540"/>
        </w:tabs>
        <w:spacing w:after="0" w:line="240" w:lineRule="auto"/>
        <w:ind w:left="5387"/>
        <w:rPr>
          <w:rFonts w:ascii="Arial" w:eastAsia="Times New Roman" w:hAnsi="Arial" w:cs="Arial"/>
          <w:sz w:val="24"/>
          <w:szCs w:val="24"/>
          <w:lang w:eastAsia="lt-LT"/>
        </w:rPr>
      </w:pPr>
      <w:bookmarkStart w:id="0" w:name="_Hlk194398900"/>
      <w:r w:rsidRPr="00DA39E1">
        <w:rPr>
          <w:rFonts w:ascii="Arial" w:eastAsia="Times New Roman" w:hAnsi="Arial" w:cs="Arial"/>
          <w:sz w:val="24"/>
          <w:szCs w:val="24"/>
          <w:lang w:eastAsia="lt-LT"/>
        </w:rPr>
        <w:t>Biudžeto vykdymo ataskaitų rinkinių rengimo taisyklių</w:t>
      </w:r>
    </w:p>
    <w:p w14:paraId="73CD0783" w14:textId="06BE409A" w:rsidR="00A82BC6" w:rsidRPr="00DA39E1" w:rsidRDefault="007056C3" w:rsidP="00A82BC6">
      <w:pPr>
        <w:tabs>
          <w:tab w:val="left" w:pos="9540"/>
        </w:tabs>
        <w:ind w:left="5387"/>
        <w:rPr>
          <w:rFonts w:ascii="Arial" w:hAnsi="Arial" w:cs="Arial"/>
          <w:b/>
          <w:bCs/>
          <w:sz w:val="24"/>
          <w:szCs w:val="24"/>
        </w:rPr>
      </w:pPr>
      <w:r>
        <w:rPr>
          <w:rFonts w:ascii="Arial" w:eastAsia="Times New Roman" w:hAnsi="Arial" w:cs="Arial"/>
          <w:sz w:val="24"/>
          <w:szCs w:val="24"/>
          <w:lang w:eastAsia="lt-LT"/>
        </w:rPr>
        <w:t>1</w:t>
      </w:r>
      <w:r w:rsidR="00A82BC6" w:rsidRPr="00DA39E1">
        <w:rPr>
          <w:rFonts w:ascii="Arial" w:eastAsia="Times New Roman" w:hAnsi="Arial" w:cs="Arial"/>
          <w:sz w:val="24"/>
          <w:szCs w:val="24"/>
          <w:lang w:eastAsia="lt-LT"/>
        </w:rPr>
        <w:t xml:space="preserve"> priedas</w:t>
      </w:r>
      <w:bookmarkEnd w:id="0"/>
      <w:r w:rsidR="00A82BC6" w:rsidRPr="00DA39E1">
        <w:rPr>
          <w:rFonts w:ascii="Arial" w:hAnsi="Arial" w:cs="Arial"/>
          <w:sz w:val="24"/>
          <w:szCs w:val="24"/>
          <w:lang w:eastAsia="lt-LT"/>
        </w:rPr>
        <w:t xml:space="preserve"> </w:t>
      </w:r>
    </w:p>
    <w:p w14:paraId="457B8B62" w14:textId="1C3A7D5E" w:rsidR="005C3DDD" w:rsidRPr="00DA39E1" w:rsidRDefault="006C2372" w:rsidP="003509F4">
      <w:pPr>
        <w:jc w:val="center"/>
        <w:rPr>
          <w:rFonts w:ascii="Arial" w:hAnsi="Arial" w:cs="Arial"/>
          <w:b/>
          <w:bCs/>
          <w:sz w:val="24"/>
          <w:szCs w:val="24"/>
        </w:rPr>
      </w:pPr>
      <w:r w:rsidRPr="00DA39E1">
        <w:rPr>
          <w:rFonts w:ascii="Arial" w:hAnsi="Arial" w:cs="Arial"/>
          <w:b/>
          <w:bCs/>
          <w:sz w:val="24"/>
          <w:szCs w:val="24"/>
        </w:rPr>
        <w:t>(I ketvirčio, pusmečio, 9 mėnesių, metų biudžeto vykdymo ataskaitų rinkinio aiškinamojo rašto forma)</w:t>
      </w:r>
    </w:p>
    <w:p w14:paraId="3817315A" w14:textId="66D3B2D5" w:rsidR="00AA4471" w:rsidRPr="005B6F05" w:rsidRDefault="005B6F05" w:rsidP="009E2B64">
      <w:pPr>
        <w:pStyle w:val="Betarp"/>
        <w:jc w:val="center"/>
        <w:rPr>
          <w:rFonts w:ascii="Arial" w:hAnsi="Arial" w:cs="Arial"/>
          <w:sz w:val="24"/>
          <w:szCs w:val="24"/>
          <w:u w:val="single"/>
        </w:rPr>
      </w:pPr>
      <w:r w:rsidRPr="005B6F05">
        <w:rPr>
          <w:rFonts w:ascii="Arial" w:hAnsi="Arial" w:cs="Arial"/>
          <w:sz w:val="24"/>
          <w:szCs w:val="24"/>
          <w:u w:val="single"/>
        </w:rPr>
        <w:t>GARGŽDŲ LOPŠELIS – DARŽELIS „NAMINUKAS“</w:t>
      </w:r>
    </w:p>
    <w:p w14:paraId="57F20AC8" w14:textId="77777777" w:rsidR="009E2B64" w:rsidRDefault="009E2B64" w:rsidP="009E2B64">
      <w:pPr>
        <w:jc w:val="center"/>
        <w:rPr>
          <w:bCs/>
          <w:sz w:val="20"/>
          <w:lang w:eastAsia="lt-LT"/>
        </w:rPr>
      </w:pPr>
      <w:r>
        <w:rPr>
          <w:bCs/>
          <w:sz w:val="20"/>
          <w:lang w:eastAsia="lt-LT"/>
        </w:rPr>
        <w:t>(įstaigos pavadinimas)</w:t>
      </w:r>
    </w:p>
    <w:p w14:paraId="61461074" w14:textId="77777777" w:rsidR="009E2B64" w:rsidRPr="009E2B64" w:rsidRDefault="009E2B64" w:rsidP="009E2B64">
      <w:pPr>
        <w:pStyle w:val="Betarp"/>
        <w:jc w:val="center"/>
        <w:rPr>
          <w:rFonts w:ascii="Arial" w:hAnsi="Arial" w:cs="Arial"/>
          <w:sz w:val="24"/>
          <w:szCs w:val="24"/>
        </w:rPr>
      </w:pPr>
    </w:p>
    <w:p w14:paraId="7FE979E0" w14:textId="4564F77C"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u w:val="single"/>
          <w:lang w:eastAsia="lt-LT"/>
        </w:rPr>
        <w:t>2026 m. I KETVIRČIO</w:t>
      </w:r>
      <w:r w:rsidRPr="009E2B64">
        <w:rPr>
          <w:rFonts w:ascii="Arial" w:hAnsi="Arial" w:cs="Arial"/>
          <w:b/>
          <w:bCs/>
          <w:sz w:val="24"/>
          <w:szCs w:val="24"/>
          <w:lang w:eastAsia="lt-LT"/>
        </w:rPr>
        <w:t xml:space="preserve"> BIUDŽETO VYKDYMO</w:t>
      </w:r>
    </w:p>
    <w:p w14:paraId="3AF58CDF" w14:textId="77777777" w:rsidR="009E2B64" w:rsidRPr="009E2B64" w:rsidRDefault="009E2B64" w:rsidP="009E2B64">
      <w:pPr>
        <w:pStyle w:val="Betarp"/>
        <w:ind w:left="1296" w:firstLine="1296"/>
        <w:rPr>
          <w:rFonts w:ascii="Arial" w:hAnsi="Arial" w:cs="Arial"/>
          <w:sz w:val="20"/>
          <w:szCs w:val="20"/>
          <w:lang w:eastAsia="lt-LT"/>
        </w:rPr>
      </w:pPr>
      <w:r w:rsidRPr="009E2B64">
        <w:rPr>
          <w:rFonts w:ascii="Arial" w:hAnsi="Arial" w:cs="Arial"/>
          <w:color w:val="000000"/>
          <w:sz w:val="20"/>
          <w:szCs w:val="20"/>
          <w:lang w:eastAsia="lt-LT"/>
        </w:rPr>
        <w:t xml:space="preserve">(I ketvirčio, pusmečio, 9 mėnesių, </w:t>
      </w:r>
      <w:r w:rsidRPr="009E2B64">
        <w:rPr>
          <w:rFonts w:ascii="Arial" w:hAnsi="Arial" w:cs="Arial"/>
          <w:sz w:val="20"/>
          <w:szCs w:val="20"/>
          <w:lang w:eastAsia="lt-LT"/>
        </w:rPr>
        <w:t>metų</w:t>
      </w:r>
      <w:r w:rsidRPr="009E2B64">
        <w:rPr>
          <w:rFonts w:ascii="Arial" w:hAnsi="Arial" w:cs="Arial"/>
          <w:color w:val="000000"/>
          <w:sz w:val="20"/>
          <w:szCs w:val="20"/>
          <w:lang w:eastAsia="lt-LT"/>
        </w:rPr>
        <w:t>)</w:t>
      </w:r>
    </w:p>
    <w:p w14:paraId="792A22A5" w14:textId="77777777"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lang w:eastAsia="lt-LT"/>
        </w:rPr>
        <w:t>ATASKAITŲ RINKINIO</w:t>
      </w:r>
    </w:p>
    <w:p w14:paraId="608019C3" w14:textId="77777777" w:rsidR="009E2B64" w:rsidRPr="009E2B64" w:rsidRDefault="009E2B64" w:rsidP="009E2B64">
      <w:pPr>
        <w:pStyle w:val="Betarp"/>
        <w:jc w:val="center"/>
        <w:rPr>
          <w:rFonts w:ascii="Arial" w:hAnsi="Arial" w:cs="Arial"/>
          <w:b/>
          <w:bCs/>
          <w:sz w:val="24"/>
          <w:szCs w:val="24"/>
          <w:lang w:eastAsia="lt-LT"/>
        </w:rPr>
      </w:pPr>
      <w:r w:rsidRPr="009E2B64">
        <w:rPr>
          <w:rFonts w:ascii="Arial" w:hAnsi="Arial" w:cs="Arial"/>
          <w:b/>
          <w:bCs/>
          <w:sz w:val="24"/>
          <w:szCs w:val="24"/>
          <w:lang w:eastAsia="lt-LT"/>
        </w:rPr>
        <w:t>AIŠKINAMASIS RAŠTAS</w:t>
      </w:r>
    </w:p>
    <w:p w14:paraId="2D693791" w14:textId="77777777" w:rsidR="009E2B64" w:rsidRPr="009E2B64" w:rsidRDefault="009E2B64" w:rsidP="009E2B64">
      <w:pPr>
        <w:pStyle w:val="Betarp"/>
        <w:jc w:val="center"/>
        <w:rPr>
          <w:rFonts w:ascii="Arial" w:hAnsi="Arial" w:cs="Arial"/>
          <w:color w:val="000000"/>
          <w:sz w:val="24"/>
          <w:szCs w:val="24"/>
          <w:lang w:eastAsia="lt-LT"/>
        </w:rPr>
      </w:pPr>
    </w:p>
    <w:p w14:paraId="38857477" w14:textId="08E1E823" w:rsidR="009E2B64" w:rsidRPr="009E2B64" w:rsidRDefault="009E2B64" w:rsidP="009E2B64">
      <w:pPr>
        <w:pStyle w:val="Betarp"/>
        <w:jc w:val="center"/>
        <w:rPr>
          <w:rFonts w:ascii="Arial" w:hAnsi="Arial" w:cs="Arial"/>
          <w:sz w:val="24"/>
          <w:szCs w:val="24"/>
          <w:lang w:eastAsia="lt-LT"/>
        </w:rPr>
      </w:pPr>
      <w:r w:rsidRPr="005B6F05">
        <w:rPr>
          <w:rFonts w:ascii="Arial" w:hAnsi="Arial" w:cs="Arial"/>
          <w:sz w:val="24"/>
          <w:szCs w:val="24"/>
          <w:u w:val="single"/>
          <w:lang w:eastAsia="lt-LT"/>
        </w:rPr>
        <w:t>2026-04-</w:t>
      </w:r>
      <w:r w:rsidR="005F7C2E">
        <w:rPr>
          <w:rFonts w:ascii="Arial" w:hAnsi="Arial" w:cs="Arial"/>
          <w:sz w:val="24"/>
          <w:szCs w:val="24"/>
          <w:u w:val="single"/>
          <w:lang w:eastAsia="lt-LT"/>
        </w:rPr>
        <w:t>15</w:t>
      </w:r>
      <w:r w:rsidRPr="005B6F05">
        <w:rPr>
          <w:rFonts w:ascii="Arial" w:hAnsi="Arial" w:cs="Arial"/>
          <w:sz w:val="24"/>
          <w:szCs w:val="24"/>
          <w:lang w:eastAsia="lt-LT"/>
        </w:rPr>
        <w:t xml:space="preserve"> </w:t>
      </w:r>
      <w:r w:rsidRPr="009E2B64">
        <w:rPr>
          <w:rFonts w:ascii="Arial" w:hAnsi="Arial" w:cs="Arial"/>
          <w:sz w:val="24"/>
          <w:szCs w:val="24"/>
          <w:lang w:eastAsia="lt-LT"/>
        </w:rPr>
        <w:t>Nr. __________</w:t>
      </w:r>
    </w:p>
    <w:p w14:paraId="72D1DB4F" w14:textId="77777777" w:rsidR="009E2B64" w:rsidRDefault="009E2B64" w:rsidP="009E2B64">
      <w:pPr>
        <w:ind w:left="3828"/>
        <w:rPr>
          <w:color w:val="000000"/>
          <w:sz w:val="20"/>
          <w:lang w:eastAsia="lt-LT"/>
        </w:rPr>
      </w:pPr>
      <w:r>
        <w:rPr>
          <w:color w:val="000000"/>
          <w:sz w:val="20"/>
          <w:lang w:eastAsia="lt-LT"/>
        </w:rPr>
        <w:t>(data)</w:t>
      </w:r>
    </w:p>
    <w:p w14:paraId="488663B4" w14:textId="5FFF5451" w:rsidR="00D42ABB" w:rsidRPr="00DA39E1" w:rsidRDefault="00D42ABB" w:rsidP="00DC61C5">
      <w:pPr>
        <w:spacing w:after="0" w:line="240" w:lineRule="auto"/>
        <w:ind w:firstLine="680"/>
        <w:jc w:val="both"/>
        <w:rPr>
          <w:rFonts w:ascii="Arial" w:hAnsi="Arial" w:cs="Arial"/>
          <w:sz w:val="24"/>
          <w:szCs w:val="24"/>
        </w:rPr>
      </w:pPr>
    </w:p>
    <w:p w14:paraId="2B54CF21" w14:textId="77777777" w:rsidR="00A82BC6" w:rsidRPr="00DA39E1" w:rsidRDefault="00A82BC6" w:rsidP="00D26ECE">
      <w:pPr>
        <w:spacing w:after="0" w:line="240" w:lineRule="auto"/>
        <w:jc w:val="center"/>
        <w:rPr>
          <w:rFonts w:ascii="Arial" w:hAnsi="Arial" w:cs="Arial"/>
          <w:b/>
          <w:sz w:val="24"/>
          <w:szCs w:val="24"/>
        </w:rPr>
      </w:pPr>
      <w:r w:rsidRPr="00DA39E1">
        <w:rPr>
          <w:rFonts w:ascii="Arial" w:hAnsi="Arial" w:cs="Arial"/>
          <w:b/>
          <w:sz w:val="24"/>
          <w:szCs w:val="24"/>
        </w:rPr>
        <w:t>I SKYRIUS</w:t>
      </w:r>
    </w:p>
    <w:p w14:paraId="6F9AE8B9" w14:textId="77777777" w:rsidR="00A82BC6" w:rsidRPr="00DA39E1" w:rsidRDefault="00A82BC6" w:rsidP="00D26ECE">
      <w:pPr>
        <w:spacing w:after="0" w:line="240" w:lineRule="auto"/>
        <w:jc w:val="center"/>
        <w:rPr>
          <w:rFonts w:ascii="Arial" w:hAnsi="Arial" w:cs="Arial"/>
          <w:b/>
          <w:sz w:val="24"/>
          <w:szCs w:val="24"/>
        </w:rPr>
      </w:pPr>
      <w:r w:rsidRPr="00DA39E1">
        <w:rPr>
          <w:rFonts w:ascii="Arial" w:hAnsi="Arial" w:cs="Arial"/>
          <w:b/>
          <w:sz w:val="24"/>
          <w:szCs w:val="24"/>
        </w:rPr>
        <w:t>BENDROSIOS NUOSTATOS</w:t>
      </w:r>
    </w:p>
    <w:p w14:paraId="158BBF30" w14:textId="2D3244D8" w:rsidR="00A82BC6" w:rsidRPr="00DA39E1" w:rsidRDefault="00A82BC6" w:rsidP="00DC61C5">
      <w:pPr>
        <w:spacing w:after="0" w:line="240" w:lineRule="auto"/>
        <w:ind w:firstLine="680"/>
        <w:jc w:val="both"/>
        <w:rPr>
          <w:rFonts w:ascii="Arial" w:hAnsi="Arial" w:cs="Arial"/>
          <w:sz w:val="24"/>
          <w:szCs w:val="24"/>
        </w:rPr>
      </w:pPr>
    </w:p>
    <w:p w14:paraId="38F9C6FD" w14:textId="3574AC7E" w:rsidR="00D42ABB" w:rsidRPr="00DA39E1" w:rsidRDefault="00DA39E1" w:rsidP="00D42ABB">
      <w:pPr>
        <w:spacing w:after="0" w:line="240" w:lineRule="auto"/>
        <w:ind w:firstLine="680"/>
        <w:jc w:val="both"/>
        <w:rPr>
          <w:rFonts w:ascii="Arial" w:hAnsi="Arial" w:cs="Arial"/>
          <w:sz w:val="24"/>
          <w:szCs w:val="24"/>
        </w:rPr>
      </w:pPr>
      <w:r w:rsidRPr="00A45D55">
        <w:rPr>
          <w:rFonts w:ascii="Arial" w:hAnsi="Arial" w:cs="Arial"/>
          <w:sz w:val="24"/>
          <w:szCs w:val="24"/>
        </w:rPr>
        <w:t xml:space="preserve">Gargždų </w:t>
      </w:r>
      <w:r w:rsidR="005B6F05" w:rsidRPr="00A45D55">
        <w:rPr>
          <w:rFonts w:ascii="Arial" w:hAnsi="Arial" w:cs="Arial"/>
          <w:sz w:val="24"/>
          <w:szCs w:val="24"/>
        </w:rPr>
        <w:t>lopšelis – darželis „Naminukas“</w:t>
      </w:r>
      <w:r w:rsidR="00D42ABB" w:rsidRPr="005B6F05">
        <w:rPr>
          <w:rFonts w:ascii="Arial" w:hAnsi="Arial" w:cs="Arial"/>
          <w:sz w:val="24"/>
          <w:szCs w:val="24"/>
        </w:rPr>
        <w:t xml:space="preserve"> </w:t>
      </w:r>
      <w:r w:rsidR="00D42ABB" w:rsidRPr="00DA39E1">
        <w:rPr>
          <w:rFonts w:ascii="Arial" w:hAnsi="Arial" w:cs="Arial"/>
          <w:sz w:val="24"/>
          <w:szCs w:val="24"/>
        </w:rPr>
        <w:t xml:space="preserve">(toliau - Įstaiga) yra biudžetinė įstaiga, kurios savininkas - Klaipėdos </w:t>
      </w:r>
      <w:r w:rsidRPr="00DA39E1">
        <w:rPr>
          <w:rFonts w:ascii="Arial" w:hAnsi="Arial" w:cs="Arial"/>
          <w:sz w:val="24"/>
          <w:szCs w:val="24"/>
        </w:rPr>
        <w:t>rajon</w:t>
      </w:r>
      <w:r w:rsidR="00D42ABB" w:rsidRPr="00DA39E1">
        <w:rPr>
          <w:rFonts w:ascii="Arial" w:hAnsi="Arial" w:cs="Arial"/>
          <w:sz w:val="24"/>
          <w:szCs w:val="24"/>
        </w:rPr>
        <w:t xml:space="preserve">o savivaldybė. Įstaiga finansuojama iš Klaipėdos </w:t>
      </w:r>
      <w:r w:rsidRPr="00DA39E1">
        <w:rPr>
          <w:rFonts w:ascii="Arial" w:hAnsi="Arial" w:cs="Arial"/>
          <w:sz w:val="24"/>
          <w:szCs w:val="24"/>
        </w:rPr>
        <w:t>rajono</w:t>
      </w:r>
      <w:r w:rsidR="00D42ABB" w:rsidRPr="00DA39E1">
        <w:rPr>
          <w:rFonts w:ascii="Arial" w:hAnsi="Arial" w:cs="Arial"/>
          <w:sz w:val="24"/>
          <w:szCs w:val="24"/>
        </w:rPr>
        <w:t xml:space="preserve"> savivaldybės biudžeto. Įstaiga įregistruota Juridinių asmenų registre, kodas</w:t>
      </w:r>
      <w:r>
        <w:rPr>
          <w:rFonts w:ascii="Arial" w:hAnsi="Arial" w:cs="Arial"/>
          <w:sz w:val="24"/>
          <w:szCs w:val="24"/>
        </w:rPr>
        <w:t xml:space="preserve"> </w:t>
      </w:r>
      <w:r w:rsidR="005B6F05" w:rsidRPr="00A45D55">
        <w:rPr>
          <w:rFonts w:ascii="Arial" w:hAnsi="Arial" w:cs="Arial"/>
          <w:sz w:val="24"/>
          <w:szCs w:val="24"/>
        </w:rPr>
        <w:t>191789695</w:t>
      </w:r>
      <w:r w:rsidR="00D42ABB" w:rsidRPr="005B6F05">
        <w:rPr>
          <w:rFonts w:ascii="Arial" w:hAnsi="Arial" w:cs="Arial"/>
          <w:sz w:val="24"/>
          <w:szCs w:val="24"/>
        </w:rPr>
        <w:t>,</w:t>
      </w:r>
      <w:r w:rsidR="00D42ABB" w:rsidRPr="00DA39E1">
        <w:rPr>
          <w:rFonts w:ascii="Arial" w:hAnsi="Arial" w:cs="Arial"/>
          <w:sz w:val="24"/>
          <w:szCs w:val="24"/>
        </w:rPr>
        <w:t xml:space="preserve"> adresas </w:t>
      </w:r>
      <w:r w:rsidRPr="00A45D55">
        <w:rPr>
          <w:rFonts w:ascii="Arial" w:hAnsi="Arial" w:cs="Arial"/>
          <w:sz w:val="24"/>
          <w:szCs w:val="24"/>
        </w:rPr>
        <w:t>K</w:t>
      </w:r>
      <w:r w:rsidR="005B6F05" w:rsidRPr="00A45D55">
        <w:rPr>
          <w:rFonts w:ascii="Arial" w:hAnsi="Arial" w:cs="Arial"/>
          <w:sz w:val="24"/>
          <w:szCs w:val="24"/>
        </w:rPr>
        <w:t>ranto</w:t>
      </w:r>
      <w:r w:rsidR="00D42ABB" w:rsidRPr="00A45D55">
        <w:rPr>
          <w:rFonts w:ascii="Arial" w:hAnsi="Arial" w:cs="Arial"/>
          <w:sz w:val="24"/>
          <w:szCs w:val="24"/>
        </w:rPr>
        <w:t xml:space="preserve"> g. </w:t>
      </w:r>
      <w:r w:rsidR="005B6F05" w:rsidRPr="00A45D55">
        <w:rPr>
          <w:rFonts w:ascii="Arial" w:hAnsi="Arial" w:cs="Arial"/>
          <w:sz w:val="24"/>
          <w:szCs w:val="24"/>
        </w:rPr>
        <w:t>3</w:t>
      </w:r>
      <w:r w:rsidR="00D42ABB" w:rsidRPr="00A45D55">
        <w:rPr>
          <w:rFonts w:ascii="Arial" w:hAnsi="Arial" w:cs="Arial"/>
          <w:sz w:val="24"/>
          <w:szCs w:val="24"/>
        </w:rPr>
        <w:t>,</w:t>
      </w:r>
      <w:r w:rsidR="00D42ABB" w:rsidRPr="005B6F05">
        <w:rPr>
          <w:rFonts w:ascii="Arial" w:hAnsi="Arial" w:cs="Arial"/>
          <w:i/>
          <w:iCs/>
          <w:sz w:val="24"/>
          <w:szCs w:val="24"/>
        </w:rPr>
        <w:t xml:space="preserve"> </w:t>
      </w:r>
      <w:r w:rsidRPr="00DA39E1">
        <w:rPr>
          <w:rFonts w:ascii="Arial" w:hAnsi="Arial" w:cs="Arial"/>
          <w:sz w:val="24"/>
          <w:szCs w:val="24"/>
        </w:rPr>
        <w:t>Gargždai</w:t>
      </w:r>
      <w:r w:rsidR="00D42ABB" w:rsidRPr="00DA39E1">
        <w:rPr>
          <w:rFonts w:ascii="Arial" w:hAnsi="Arial" w:cs="Arial"/>
          <w:sz w:val="24"/>
          <w:szCs w:val="24"/>
        </w:rPr>
        <w:t>.</w:t>
      </w:r>
    </w:p>
    <w:p w14:paraId="47809F29" w14:textId="1BCB85F1" w:rsidR="00D6369C" w:rsidRPr="00686711" w:rsidRDefault="00686711" w:rsidP="00686711">
      <w:pPr>
        <w:spacing w:after="0"/>
        <w:ind w:firstLine="851"/>
        <w:jc w:val="both"/>
        <w:rPr>
          <w:rFonts w:ascii="Arial" w:hAnsi="Arial" w:cs="Arial"/>
          <w:sz w:val="24"/>
          <w:szCs w:val="24"/>
        </w:rPr>
      </w:pPr>
      <w:r w:rsidRPr="00686711">
        <w:rPr>
          <w:rFonts w:ascii="Arial" w:hAnsi="Arial" w:cs="Arial"/>
          <w:sz w:val="24"/>
          <w:szCs w:val="24"/>
        </w:rPr>
        <w:t xml:space="preserve">Biudžeto vykdymo ataskaitų rinkinys (toliau – Ataskaitų rinkinys) parengtas vadovaujantis Lietuvos Respublikos viešojo sektoriaus atskaitomybės įstatymu, Lietuvos Respublikos biudžeto sandaros įstatymu, Lietuvos Respublikos finansų ministro 2025 m. kovo 25 d. įsakymu Nr. 1K-63 „Dėl Biudžeto vykdymo ataskaitų rinkinių rengimo taisyklių patvirtinimo“ patvirtintomis Biudžeto vykdymo ataskaitų rinkinių rengimo taisyklių 5 punktu ir Klaipėdos rajono savivaldybės tarybos 2024 m. spalio 31 d. sprendimu Nr. T11-478 „Dėl Klaipėdos rajono savivaldybės biudžeto sudarymo, vykdymo, įsiskolinimų padengimo  ir atskaitomybės tvarkos aprašo patvirtinimo“. </w:t>
      </w:r>
      <w:r w:rsidR="00DA69D4" w:rsidRPr="00686711">
        <w:rPr>
          <w:rFonts w:ascii="Arial" w:hAnsi="Arial" w:cs="Arial"/>
          <w:sz w:val="24"/>
          <w:szCs w:val="24"/>
        </w:rPr>
        <w:t xml:space="preserve"> </w:t>
      </w:r>
    </w:p>
    <w:p w14:paraId="328FE4E6" w14:textId="77777777" w:rsidR="00686711" w:rsidRDefault="00686711" w:rsidP="00686711">
      <w:pPr>
        <w:spacing w:after="0" w:line="240" w:lineRule="auto"/>
        <w:ind w:firstLine="680"/>
        <w:jc w:val="both"/>
        <w:rPr>
          <w:rFonts w:ascii="Arial" w:hAnsi="Arial" w:cs="Arial"/>
          <w:sz w:val="24"/>
          <w:szCs w:val="24"/>
        </w:rPr>
      </w:pPr>
      <w:r w:rsidRPr="00686711">
        <w:rPr>
          <w:rFonts w:ascii="Arial" w:hAnsi="Arial" w:cs="Arial"/>
          <w:sz w:val="24"/>
          <w:szCs w:val="24"/>
        </w:rPr>
        <w:t xml:space="preserve">Ataskaitų rinkinio tikslas – pateikti informaciją apie Įstaigos biudžeto vykdymo rezultatus per </w:t>
      </w:r>
      <w:r w:rsidRPr="00A45D55">
        <w:rPr>
          <w:rFonts w:ascii="Arial" w:hAnsi="Arial" w:cs="Arial"/>
          <w:sz w:val="24"/>
          <w:szCs w:val="24"/>
        </w:rPr>
        <w:t>2026 m. I ketvirtį</w:t>
      </w:r>
      <w:r w:rsidRPr="00686711">
        <w:rPr>
          <w:rFonts w:ascii="Arial" w:hAnsi="Arial" w:cs="Arial"/>
          <w:sz w:val="24"/>
          <w:szCs w:val="24"/>
        </w:rPr>
        <w:t>.</w:t>
      </w:r>
    </w:p>
    <w:p w14:paraId="134FA7B3" w14:textId="62DDDBBA" w:rsidR="006C1258" w:rsidRPr="00282AD1" w:rsidRDefault="00686711" w:rsidP="00686711">
      <w:pPr>
        <w:spacing w:after="0" w:line="240" w:lineRule="auto"/>
        <w:ind w:firstLine="680"/>
        <w:jc w:val="both"/>
        <w:rPr>
          <w:rFonts w:ascii="Arial" w:hAnsi="Arial" w:cs="Arial"/>
          <w:sz w:val="24"/>
          <w:szCs w:val="24"/>
        </w:rPr>
      </w:pPr>
      <w:r w:rsidRPr="00686711">
        <w:rPr>
          <w:rFonts w:ascii="Arial" w:hAnsi="Arial" w:cs="Arial"/>
          <w:sz w:val="24"/>
          <w:szCs w:val="24"/>
        </w:rPr>
        <w:t>Ataskaitų rinkinį sudarė</w:t>
      </w:r>
      <w:r w:rsidR="00D6369C" w:rsidRPr="00DA39E1">
        <w:rPr>
          <w:rFonts w:ascii="Arial" w:hAnsi="Arial" w:cs="Arial"/>
          <w:sz w:val="24"/>
          <w:szCs w:val="24"/>
        </w:rPr>
        <w:t xml:space="preserve"> Klaipėdos </w:t>
      </w:r>
      <w:r w:rsidR="00DA39E1" w:rsidRPr="00DA39E1">
        <w:rPr>
          <w:rFonts w:ascii="Arial" w:hAnsi="Arial" w:cs="Arial"/>
          <w:sz w:val="24"/>
          <w:szCs w:val="24"/>
        </w:rPr>
        <w:t>rajono Švietimo centro biudžetinių įstaigų centralizuotos apskaitos skyrius</w:t>
      </w:r>
      <w:r>
        <w:rPr>
          <w:rFonts w:ascii="Arial" w:hAnsi="Arial" w:cs="Arial"/>
          <w:sz w:val="24"/>
          <w:szCs w:val="24"/>
        </w:rPr>
        <w:t xml:space="preserve">, </w:t>
      </w:r>
      <w:r w:rsidRPr="00282AD1">
        <w:rPr>
          <w:rFonts w:ascii="Arial" w:hAnsi="Arial" w:cs="Arial"/>
          <w:sz w:val="24"/>
          <w:szCs w:val="24"/>
        </w:rPr>
        <w:t>atsakingas už finansinės apskaitos ataskaitų parengimą ir pateikimą Klaipėdos rajono savivaldybės administracijos Biudžeto ir ekonomikos skyriui (toliau – Biudžeto ir ekonomikos skyrius)</w:t>
      </w:r>
      <w:r w:rsidR="00736526" w:rsidRPr="00282AD1">
        <w:rPr>
          <w:rFonts w:ascii="Arial" w:hAnsi="Arial" w:cs="Arial"/>
          <w:sz w:val="24"/>
          <w:szCs w:val="24"/>
        </w:rPr>
        <w:t>.</w:t>
      </w:r>
      <w:r w:rsidR="00D6369C" w:rsidRPr="00282AD1">
        <w:rPr>
          <w:rFonts w:ascii="Arial" w:hAnsi="Arial" w:cs="Arial"/>
          <w:sz w:val="24"/>
          <w:szCs w:val="24"/>
        </w:rPr>
        <w:t xml:space="preserve"> </w:t>
      </w:r>
    </w:p>
    <w:p w14:paraId="75E7B645" w14:textId="77777777" w:rsidR="005F3E01" w:rsidRPr="00DA39E1" w:rsidRDefault="005F3E01" w:rsidP="00581B4C">
      <w:pPr>
        <w:spacing w:after="0" w:line="240" w:lineRule="auto"/>
        <w:ind w:firstLine="680"/>
        <w:jc w:val="both"/>
        <w:rPr>
          <w:rFonts w:ascii="Arial" w:hAnsi="Arial" w:cs="Arial"/>
          <w:sz w:val="24"/>
          <w:szCs w:val="24"/>
        </w:rPr>
      </w:pPr>
    </w:p>
    <w:p w14:paraId="08E2B710" w14:textId="77777777" w:rsidR="00D26ECE" w:rsidRPr="00DA39E1" w:rsidRDefault="00D26ECE" w:rsidP="00D26ECE">
      <w:pPr>
        <w:tabs>
          <w:tab w:val="left" w:pos="426"/>
        </w:tabs>
        <w:spacing w:after="0" w:line="240" w:lineRule="auto"/>
        <w:jc w:val="center"/>
        <w:rPr>
          <w:rFonts w:ascii="Arial" w:eastAsia="Times New Roman" w:hAnsi="Arial" w:cs="Arial"/>
          <w:b/>
          <w:sz w:val="24"/>
          <w:szCs w:val="24"/>
          <w:lang w:eastAsia="lt-LT"/>
        </w:rPr>
      </w:pPr>
      <w:bookmarkStart w:id="1" w:name="_Hlk194411209"/>
      <w:r w:rsidRPr="00DA39E1">
        <w:rPr>
          <w:rFonts w:ascii="Arial" w:eastAsia="Times New Roman" w:hAnsi="Arial" w:cs="Arial"/>
          <w:b/>
          <w:caps/>
          <w:sz w:val="24"/>
          <w:szCs w:val="24"/>
          <w:lang w:eastAsia="lt-LT"/>
        </w:rPr>
        <w:t>II skyrius</w:t>
      </w:r>
    </w:p>
    <w:p w14:paraId="7C95A777" w14:textId="77777777" w:rsidR="00D26ECE" w:rsidRPr="00DA39E1" w:rsidRDefault="00D26ECE" w:rsidP="00D26ECE">
      <w:pPr>
        <w:tabs>
          <w:tab w:val="left" w:pos="426"/>
        </w:tabs>
        <w:spacing w:after="0" w:line="240" w:lineRule="auto"/>
        <w:jc w:val="center"/>
        <w:rPr>
          <w:rFonts w:ascii="Arial" w:eastAsia="Times New Roman" w:hAnsi="Arial" w:cs="Arial"/>
          <w:b/>
          <w:sz w:val="24"/>
          <w:szCs w:val="24"/>
          <w:lang w:eastAsia="lt-LT"/>
        </w:rPr>
      </w:pPr>
      <w:r w:rsidRPr="00DA39E1">
        <w:rPr>
          <w:rFonts w:ascii="Arial" w:eastAsia="Times New Roman" w:hAnsi="Arial" w:cs="Arial"/>
          <w:b/>
          <w:caps/>
          <w:sz w:val="24"/>
          <w:szCs w:val="24"/>
          <w:lang w:eastAsia="lt-LT"/>
        </w:rPr>
        <w:t>Apskaitos politika</w:t>
      </w:r>
    </w:p>
    <w:bookmarkEnd w:id="1"/>
    <w:p w14:paraId="1F3352F9" w14:textId="77777777" w:rsidR="005F3E01" w:rsidRPr="00DA39E1" w:rsidRDefault="005F3E01" w:rsidP="00581B4C">
      <w:pPr>
        <w:spacing w:after="0" w:line="240" w:lineRule="auto"/>
        <w:ind w:firstLine="680"/>
        <w:jc w:val="both"/>
        <w:rPr>
          <w:rFonts w:ascii="Arial" w:hAnsi="Arial" w:cs="Arial"/>
          <w:sz w:val="24"/>
          <w:szCs w:val="24"/>
        </w:rPr>
      </w:pPr>
    </w:p>
    <w:p w14:paraId="61A9F5E3" w14:textId="7B7EBB04" w:rsidR="00B27432" w:rsidRPr="00686711" w:rsidRDefault="00686711" w:rsidP="00686711">
      <w:pPr>
        <w:spacing w:after="0" w:line="240" w:lineRule="auto"/>
        <w:ind w:firstLine="1296"/>
        <w:jc w:val="both"/>
        <w:rPr>
          <w:rFonts w:ascii="Arial" w:hAnsi="Arial" w:cs="Arial"/>
          <w:b/>
          <w:sz w:val="24"/>
          <w:szCs w:val="24"/>
        </w:rPr>
      </w:pPr>
      <w:r w:rsidRPr="00686711">
        <w:rPr>
          <w:rFonts w:ascii="Arial" w:hAnsi="Arial" w:cs="Arial"/>
          <w:sz w:val="24"/>
          <w:szCs w:val="24"/>
        </w:rPr>
        <w:t xml:space="preserve">Šiame skyriuje nurodomi apskaitos principai, kurie taikyti rengiant biudžeto vykdymo ataskaitų rinkinį. Rengiant Ataskaitų rinkinį buvo vadovautasi </w:t>
      </w:r>
      <w:r w:rsidRPr="00686711">
        <w:rPr>
          <w:rFonts w:ascii="Arial" w:hAnsi="Arial" w:cs="Arial"/>
          <w:b/>
          <w:bCs/>
          <w:sz w:val="24"/>
          <w:szCs w:val="24"/>
        </w:rPr>
        <w:t>pinigų principu</w:t>
      </w:r>
      <w:r w:rsidRPr="00686711">
        <w:rPr>
          <w:rFonts w:ascii="Arial" w:hAnsi="Arial" w:cs="Arial"/>
          <w:sz w:val="24"/>
          <w:szCs w:val="24"/>
        </w:rPr>
        <w:t xml:space="preserve">, kaip nustatyta Biudžeto vykdymo ataskaitų rinkinių rengimo taisyklių, patvirtintų Lietuvos Respublikos finansų ministro 2025 m. kovo 25 d. įsakymu Nr. 1K-63„Dėl Biudžeto vykdymo ataskaitų rinkinių rengimo taisyklių patvirtinimo“, </w:t>
      </w:r>
      <w:r w:rsidR="000F47E3" w:rsidRPr="000F47E3">
        <w:rPr>
          <w:rFonts w:ascii="Arial" w:hAnsi="Arial" w:cs="Arial"/>
          <w:sz w:val="24"/>
          <w:szCs w:val="24"/>
        </w:rPr>
        <w:t>4</w:t>
      </w:r>
      <w:r w:rsidR="000F47E3" w:rsidRPr="000F47E3">
        <w:rPr>
          <w:rFonts w:ascii="Arial" w:hAnsi="Arial" w:cs="Arial"/>
          <w:sz w:val="24"/>
          <w:szCs w:val="24"/>
          <w:vertAlign w:val="superscript"/>
        </w:rPr>
        <w:t>1</w:t>
      </w:r>
      <w:r w:rsidRPr="00686711">
        <w:rPr>
          <w:rFonts w:ascii="Arial" w:hAnsi="Arial" w:cs="Arial"/>
          <w:sz w:val="24"/>
          <w:szCs w:val="24"/>
        </w:rPr>
        <w:t xml:space="preserve"> punkte. Taikant šį principą pajamos ir išlaidos registruojamos tada, kai pinigai faktiškai gaunami arba išleidžiami, užtikrinant ataskaitose realius finansinius pinigų srautus per ataskaitinį laikotarpį. Taip pat taikomi šie apskaitos principai: </w:t>
      </w:r>
      <w:r w:rsidRPr="00686711">
        <w:rPr>
          <w:rFonts w:ascii="Arial" w:hAnsi="Arial" w:cs="Arial"/>
          <w:b/>
          <w:bCs/>
          <w:sz w:val="24"/>
          <w:szCs w:val="24"/>
        </w:rPr>
        <w:t>Subjekto principas</w:t>
      </w:r>
      <w:r w:rsidRPr="00686711">
        <w:rPr>
          <w:rFonts w:ascii="Arial" w:hAnsi="Arial" w:cs="Arial"/>
          <w:sz w:val="24"/>
          <w:szCs w:val="24"/>
        </w:rPr>
        <w:t xml:space="preserve"> – ataskaitos rengiamos atskirai kaip </w:t>
      </w:r>
      <w:r w:rsidRPr="00C96519">
        <w:rPr>
          <w:rFonts w:ascii="Arial" w:hAnsi="Arial" w:cs="Arial"/>
          <w:i/>
          <w:iCs/>
          <w:sz w:val="24"/>
          <w:szCs w:val="24"/>
        </w:rPr>
        <w:t>(</w:t>
      </w:r>
      <w:r w:rsidR="00C96519" w:rsidRPr="00A45D55">
        <w:rPr>
          <w:rFonts w:ascii="Arial" w:hAnsi="Arial" w:cs="Arial"/>
          <w:sz w:val="24"/>
          <w:szCs w:val="24"/>
        </w:rPr>
        <w:t>Gargždų</w:t>
      </w:r>
      <w:r w:rsidR="00C96519" w:rsidRPr="00C96519">
        <w:rPr>
          <w:rFonts w:ascii="Arial" w:hAnsi="Arial" w:cs="Arial"/>
          <w:i/>
          <w:iCs/>
          <w:sz w:val="24"/>
          <w:szCs w:val="24"/>
        </w:rPr>
        <w:t xml:space="preserve"> </w:t>
      </w:r>
      <w:r w:rsidR="00C96519" w:rsidRPr="00A45D55">
        <w:rPr>
          <w:rFonts w:ascii="Arial" w:hAnsi="Arial" w:cs="Arial"/>
          <w:sz w:val="24"/>
          <w:szCs w:val="24"/>
        </w:rPr>
        <w:lastRenderedPageBreak/>
        <w:t>lopšelis-darželis „Naminukas“</w:t>
      </w:r>
      <w:r w:rsidRPr="00A45D55">
        <w:rPr>
          <w:rFonts w:ascii="Arial" w:hAnsi="Arial" w:cs="Arial"/>
          <w:sz w:val="24"/>
          <w:szCs w:val="24"/>
        </w:rPr>
        <w:t>)</w:t>
      </w:r>
      <w:r w:rsidRPr="00C96519">
        <w:rPr>
          <w:rFonts w:ascii="Arial" w:hAnsi="Arial" w:cs="Arial"/>
          <w:sz w:val="24"/>
          <w:szCs w:val="24"/>
        </w:rPr>
        <w:t xml:space="preserve"> </w:t>
      </w:r>
      <w:r w:rsidRPr="00686711">
        <w:rPr>
          <w:rFonts w:ascii="Arial" w:hAnsi="Arial" w:cs="Arial"/>
          <w:sz w:val="24"/>
          <w:szCs w:val="24"/>
        </w:rPr>
        <w:t xml:space="preserve">savarankiško subjekto, neįtraukiant kitų juridinių asmenų finansinių duomenų. </w:t>
      </w:r>
      <w:r w:rsidRPr="00686711">
        <w:rPr>
          <w:rFonts w:ascii="Arial" w:hAnsi="Arial" w:cs="Arial"/>
          <w:b/>
          <w:bCs/>
          <w:sz w:val="24"/>
          <w:szCs w:val="24"/>
        </w:rPr>
        <w:t>Periodiškumo principas</w:t>
      </w:r>
      <w:r w:rsidRPr="00686711">
        <w:rPr>
          <w:rFonts w:ascii="Arial" w:hAnsi="Arial" w:cs="Arial"/>
          <w:sz w:val="24"/>
          <w:szCs w:val="24"/>
        </w:rPr>
        <w:t xml:space="preserve"> – finansiniai duomenys pateikiami ir visi įvykiai priskiriami atitinkamam ataskaitiniam laikotarpiui. </w:t>
      </w:r>
      <w:r w:rsidRPr="00686711">
        <w:rPr>
          <w:rFonts w:ascii="Arial" w:hAnsi="Arial" w:cs="Arial"/>
          <w:b/>
          <w:bCs/>
          <w:sz w:val="24"/>
          <w:szCs w:val="24"/>
        </w:rPr>
        <w:t>Pastovumo principas</w:t>
      </w:r>
      <w:r w:rsidRPr="00686711">
        <w:rPr>
          <w:rFonts w:ascii="Arial" w:hAnsi="Arial" w:cs="Arial"/>
          <w:sz w:val="24"/>
          <w:szCs w:val="24"/>
        </w:rPr>
        <w:t xml:space="preserve"> – apskaitos metodai ir taisyklės taikomi nuosekliai, nekeičiant jų per ataskaitinį laikotarpį, siekiant užtikrinti duomenų palyginamumą. </w:t>
      </w:r>
      <w:r w:rsidRPr="00686711">
        <w:rPr>
          <w:rFonts w:ascii="Arial" w:hAnsi="Arial" w:cs="Arial"/>
          <w:b/>
          <w:bCs/>
          <w:sz w:val="24"/>
          <w:szCs w:val="24"/>
        </w:rPr>
        <w:t>Piniginio mato principas</w:t>
      </w:r>
      <w:r w:rsidRPr="00686711">
        <w:rPr>
          <w:rFonts w:ascii="Arial" w:hAnsi="Arial" w:cs="Arial"/>
          <w:sz w:val="24"/>
          <w:szCs w:val="24"/>
        </w:rPr>
        <w:t xml:space="preserve"> – visi finansiniai duomenys ir operacijos išreiškiami piniginiu vienetu – eurais.  Apskaitos politika atitinka Lietuvos Respublikos viešojo sektoriaus atskaitomybės įstatymo reikalavimus bei Viešojo sektoriaus apskaitos ir finansinės atskaitomybės standartus (VSAFAS), taikomus biudžetinėms įstaigoms. Rengiant ataskaitas, užtikrinamas apskaitos duomenų tikslumas, skaidrumas ir atitiktis teisės aktų reikalavimams</w:t>
      </w:r>
    </w:p>
    <w:p w14:paraId="06413C45" w14:textId="04739864" w:rsidR="00D26ECE" w:rsidRPr="00DA39E1" w:rsidRDefault="00D26ECE" w:rsidP="00D26ECE">
      <w:pPr>
        <w:spacing w:after="0" w:line="240" w:lineRule="auto"/>
        <w:jc w:val="center"/>
        <w:rPr>
          <w:rFonts w:ascii="Arial" w:hAnsi="Arial" w:cs="Arial"/>
          <w:b/>
          <w:sz w:val="24"/>
          <w:szCs w:val="24"/>
        </w:rPr>
      </w:pPr>
      <w:r w:rsidRPr="00DA39E1">
        <w:rPr>
          <w:rFonts w:ascii="Arial" w:hAnsi="Arial" w:cs="Arial"/>
          <w:b/>
          <w:sz w:val="24"/>
          <w:szCs w:val="24"/>
        </w:rPr>
        <w:t>III SKYRIUS</w:t>
      </w:r>
    </w:p>
    <w:p w14:paraId="0FB1E6E1" w14:textId="03D443A3" w:rsidR="00D26ECE" w:rsidRPr="00DA39E1" w:rsidRDefault="000F47E3" w:rsidP="00D26ECE">
      <w:pPr>
        <w:spacing w:after="0" w:line="240" w:lineRule="auto"/>
        <w:jc w:val="center"/>
        <w:rPr>
          <w:rFonts w:ascii="Arial" w:hAnsi="Arial" w:cs="Arial"/>
          <w:b/>
          <w:sz w:val="24"/>
          <w:szCs w:val="24"/>
        </w:rPr>
      </w:pPr>
      <w:r>
        <w:rPr>
          <w:rFonts w:ascii="Arial" w:hAnsi="Arial" w:cs="Arial"/>
          <w:b/>
          <w:sz w:val="24"/>
          <w:szCs w:val="24"/>
        </w:rPr>
        <w:t xml:space="preserve">BIUDŽETINIŲ ĮSTAIGŲ </w:t>
      </w:r>
      <w:r w:rsidR="00D26ECE" w:rsidRPr="00DA39E1">
        <w:rPr>
          <w:rFonts w:ascii="Arial" w:hAnsi="Arial" w:cs="Arial"/>
          <w:b/>
          <w:sz w:val="24"/>
          <w:szCs w:val="24"/>
        </w:rPr>
        <w:t>PAJAMŲ PLANO VYKDYMAS</w:t>
      </w:r>
    </w:p>
    <w:p w14:paraId="562EA137" w14:textId="57062A83" w:rsidR="005F3E01" w:rsidRPr="00DA39E1" w:rsidRDefault="005F3E01" w:rsidP="00581B4C">
      <w:pPr>
        <w:spacing w:after="0" w:line="240" w:lineRule="auto"/>
        <w:ind w:firstLine="680"/>
        <w:jc w:val="both"/>
        <w:rPr>
          <w:rFonts w:ascii="Arial" w:hAnsi="Arial" w:cs="Arial"/>
          <w:sz w:val="24"/>
          <w:szCs w:val="24"/>
        </w:rPr>
      </w:pPr>
    </w:p>
    <w:p w14:paraId="32ECFAF6" w14:textId="5844383C" w:rsidR="001C2676" w:rsidRPr="00DA39E1" w:rsidRDefault="00500E3B" w:rsidP="0034107F">
      <w:pPr>
        <w:spacing w:after="0" w:line="240" w:lineRule="auto"/>
        <w:ind w:firstLine="709"/>
        <w:jc w:val="both"/>
        <w:rPr>
          <w:rFonts w:ascii="Arial" w:hAnsi="Arial" w:cs="Arial"/>
          <w:sz w:val="24"/>
          <w:szCs w:val="24"/>
        </w:rPr>
      </w:pPr>
      <w:r w:rsidRPr="00DA39E1">
        <w:rPr>
          <w:rFonts w:ascii="Arial" w:hAnsi="Arial" w:cs="Arial"/>
          <w:sz w:val="24"/>
          <w:szCs w:val="24"/>
        </w:rPr>
        <w:t>Informacija apie įstaigos</w:t>
      </w:r>
      <w:r w:rsidR="000F47E3">
        <w:rPr>
          <w:rFonts w:ascii="Arial" w:hAnsi="Arial" w:cs="Arial"/>
          <w:sz w:val="24"/>
          <w:szCs w:val="24"/>
        </w:rPr>
        <w:t xml:space="preserve"> gaunamų</w:t>
      </w:r>
      <w:r w:rsidRPr="00DA39E1">
        <w:rPr>
          <w:rFonts w:ascii="Arial" w:hAnsi="Arial" w:cs="Arial"/>
          <w:sz w:val="24"/>
          <w:szCs w:val="24"/>
        </w:rPr>
        <w:t xml:space="preserve"> pajamų</w:t>
      </w:r>
      <w:r w:rsidR="000F47E3">
        <w:rPr>
          <w:rFonts w:ascii="Arial" w:hAnsi="Arial" w:cs="Arial"/>
          <w:sz w:val="24"/>
          <w:szCs w:val="24"/>
        </w:rPr>
        <w:t xml:space="preserve"> ir įmokų į Savivaldybės biudžetą</w:t>
      </w:r>
      <w:r w:rsidRPr="00DA39E1">
        <w:rPr>
          <w:rFonts w:ascii="Arial" w:hAnsi="Arial" w:cs="Arial"/>
          <w:sz w:val="24"/>
          <w:szCs w:val="24"/>
        </w:rPr>
        <w:t xml:space="preserve"> plano vykdymą </w:t>
      </w:r>
      <w:r w:rsidR="000F47E3">
        <w:rPr>
          <w:rFonts w:ascii="Arial" w:hAnsi="Arial" w:cs="Arial"/>
          <w:sz w:val="24"/>
          <w:szCs w:val="24"/>
        </w:rPr>
        <w:t xml:space="preserve"> per 2026 m. I ketvirtį </w:t>
      </w:r>
      <w:r w:rsidRPr="00DA39E1">
        <w:rPr>
          <w:rFonts w:ascii="Arial" w:hAnsi="Arial" w:cs="Arial"/>
          <w:sz w:val="24"/>
          <w:szCs w:val="24"/>
        </w:rPr>
        <w:t>pateikta formoje Nr.</w:t>
      </w:r>
      <w:r w:rsidR="00900366">
        <w:rPr>
          <w:rFonts w:ascii="Arial" w:hAnsi="Arial" w:cs="Arial"/>
          <w:sz w:val="24"/>
          <w:szCs w:val="24"/>
        </w:rPr>
        <w:t>3</w:t>
      </w:r>
      <w:r w:rsidRPr="00DA39E1">
        <w:rPr>
          <w:rFonts w:ascii="Arial" w:hAnsi="Arial" w:cs="Arial"/>
          <w:sz w:val="24"/>
          <w:szCs w:val="24"/>
        </w:rPr>
        <w:t xml:space="preserve"> (pridedama).</w:t>
      </w:r>
    </w:p>
    <w:p w14:paraId="537AAD3A" w14:textId="77777777" w:rsidR="001C2676" w:rsidRPr="00DA39E1" w:rsidRDefault="001C2676" w:rsidP="0034107F">
      <w:pPr>
        <w:spacing w:after="0" w:line="240" w:lineRule="auto"/>
        <w:ind w:firstLine="709"/>
        <w:jc w:val="both"/>
        <w:rPr>
          <w:rFonts w:ascii="Arial" w:hAnsi="Arial" w:cs="Arial"/>
          <w:sz w:val="24"/>
          <w:szCs w:val="24"/>
        </w:rPr>
      </w:pPr>
    </w:p>
    <w:p w14:paraId="65CBFFA6" w14:textId="77777777" w:rsidR="001C2676" w:rsidRPr="00DA39E1" w:rsidRDefault="001C2676" w:rsidP="001C2676">
      <w:pPr>
        <w:spacing w:after="0" w:line="240" w:lineRule="auto"/>
        <w:ind w:firstLine="709"/>
        <w:jc w:val="center"/>
        <w:rPr>
          <w:rFonts w:ascii="Arial" w:hAnsi="Arial" w:cs="Arial"/>
          <w:sz w:val="24"/>
          <w:szCs w:val="24"/>
        </w:rPr>
      </w:pPr>
      <w:bookmarkStart w:id="2" w:name="_Hlk194412671"/>
      <w:bookmarkStart w:id="3" w:name="_Hlk195167165"/>
      <w:r w:rsidRPr="00DA39E1">
        <w:rPr>
          <w:rFonts w:ascii="Arial" w:hAnsi="Arial" w:cs="Arial"/>
          <w:b/>
          <w:sz w:val="24"/>
          <w:szCs w:val="24"/>
        </w:rPr>
        <w:t>IV</w:t>
      </w:r>
      <w:r w:rsidRPr="00DA39E1">
        <w:rPr>
          <w:rFonts w:ascii="Arial" w:hAnsi="Arial" w:cs="Arial"/>
          <w:sz w:val="24"/>
          <w:szCs w:val="24"/>
        </w:rPr>
        <w:t xml:space="preserve"> </w:t>
      </w:r>
      <w:r w:rsidRPr="00DA39E1">
        <w:rPr>
          <w:rFonts w:ascii="Arial" w:hAnsi="Arial" w:cs="Arial"/>
          <w:b/>
          <w:sz w:val="24"/>
          <w:szCs w:val="24"/>
        </w:rPr>
        <w:t>SKYRIUS</w:t>
      </w:r>
    </w:p>
    <w:p w14:paraId="5E1B7498" w14:textId="39170A14" w:rsidR="001C2676" w:rsidRDefault="001C2676" w:rsidP="001C2676">
      <w:pPr>
        <w:spacing w:after="0" w:line="240" w:lineRule="auto"/>
        <w:ind w:firstLine="709"/>
        <w:jc w:val="center"/>
        <w:rPr>
          <w:rFonts w:ascii="Arial" w:hAnsi="Arial" w:cs="Arial"/>
          <w:b/>
          <w:sz w:val="24"/>
          <w:szCs w:val="24"/>
        </w:rPr>
      </w:pPr>
      <w:r w:rsidRPr="00DA39E1">
        <w:rPr>
          <w:rFonts w:ascii="Arial" w:hAnsi="Arial" w:cs="Arial"/>
          <w:b/>
          <w:sz w:val="24"/>
          <w:szCs w:val="24"/>
        </w:rPr>
        <w:t>BIUDŽETO IŠLAIDŲ PLANO VYKDYMAS</w:t>
      </w:r>
    </w:p>
    <w:p w14:paraId="43EA7376" w14:textId="3F14DD1B" w:rsidR="004865BC" w:rsidRDefault="004865BC" w:rsidP="001C2676">
      <w:pPr>
        <w:spacing w:after="0" w:line="240" w:lineRule="auto"/>
        <w:ind w:firstLine="709"/>
        <w:jc w:val="center"/>
        <w:rPr>
          <w:rFonts w:ascii="Arial" w:hAnsi="Arial" w:cs="Arial"/>
          <w:b/>
          <w:sz w:val="24"/>
          <w:szCs w:val="24"/>
        </w:rPr>
      </w:pPr>
    </w:p>
    <w:p w14:paraId="1E73188C" w14:textId="58C06906" w:rsidR="004865BC" w:rsidRPr="004865BC" w:rsidRDefault="004865BC" w:rsidP="004865BC">
      <w:pPr>
        <w:spacing w:after="0" w:line="240" w:lineRule="auto"/>
        <w:ind w:firstLine="709"/>
        <w:jc w:val="both"/>
        <w:rPr>
          <w:rFonts w:ascii="Arial" w:hAnsi="Arial" w:cs="Arial"/>
          <w:b/>
          <w:sz w:val="24"/>
          <w:szCs w:val="24"/>
        </w:rPr>
      </w:pPr>
      <w:r w:rsidRPr="004865BC">
        <w:rPr>
          <w:rFonts w:ascii="Arial" w:hAnsi="Arial" w:cs="Arial"/>
          <w:sz w:val="24"/>
          <w:szCs w:val="24"/>
        </w:rPr>
        <w:t>Pateikiame informaciją apie biudžeto asignavimų plano vykdymą pagal finansavimo šaltinius.</w:t>
      </w:r>
    </w:p>
    <w:bookmarkEnd w:id="2"/>
    <w:p w14:paraId="62DCECBE" w14:textId="3FE33CBD" w:rsidR="004913F7" w:rsidRPr="004865BC" w:rsidRDefault="004913F7" w:rsidP="004913F7">
      <w:pPr>
        <w:pStyle w:val="Sraopastraipa"/>
        <w:numPr>
          <w:ilvl w:val="0"/>
          <w:numId w:val="7"/>
        </w:numPr>
        <w:spacing w:after="0" w:line="240" w:lineRule="auto"/>
        <w:ind w:left="0" w:firstLine="851"/>
        <w:jc w:val="both"/>
        <w:rPr>
          <w:rFonts w:ascii="Arial" w:hAnsi="Arial" w:cs="Arial"/>
          <w:sz w:val="24"/>
          <w:szCs w:val="24"/>
        </w:rPr>
      </w:pPr>
      <w:r w:rsidRPr="004913F7">
        <w:rPr>
          <w:rFonts w:ascii="Arial" w:hAnsi="Arial" w:cs="Arial"/>
          <w:sz w:val="24"/>
          <w:szCs w:val="24"/>
        </w:rPr>
        <w:t>Dotacija valstybinėms (</w:t>
      </w:r>
      <w:r w:rsidR="003E3F8F" w:rsidRPr="00A45D55">
        <w:rPr>
          <w:rFonts w:ascii="Arial" w:hAnsi="Arial" w:cs="Arial"/>
          <w:sz w:val="24"/>
          <w:szCs w:val="24"/>
        </w:rPr>
        <w:t>VBD</w:t>
      </w:r>
      <w:r w:rsidRPr="00A45D55">
        <w:rPr>
          <w:rFonts w:ascii="Arial" w:hAnsi="Arial" w:cs="Arial"/>
          <w:sz w:val="24"/>
          <w:szCs w:val="24"/>
        </w:rPr>
        <w:t>)</w:t>
      </w:r>
      <w:r w:rsidRPr="004913F7">
        <w:rPr>
          <w:rFonts w:ascii="Arial" w:hAnsi="Arial" w:cs="Arial"/>
          <w:sz w:val="24"/>
          <w:szCs w:val="24"/>
        </w:rPr>
        <w:t xml:space="preserve"> funkcijoms ir savarankiškoms funkcijoms atlikti.</w:t>
      </w:r>
      <w:r>
        <w:rPr>
          <w:rFonts w:ascii="Arial" w:hAnsi="Arial" w:cs="Arial"/>
          <w:sz w:val="24"/>
          <w:szCs w:val="24"/>
        </w:rPr>
        <w:t xml:space="preserve"> </w:t>
      </w:r>
      <w:r w:rsidRPr="004865BC">
        <w:rPr>
          <w:rFonts w:ascii="Arial" w:hAnsi="Arial" w:cs="Arial"/>
          <w:sz w:val="24"/>
          <w:szCs w:val="24"/>
        </w:rPr>
        <w:t xml:space="preserve">2026 metų </w:t>
      </w:r>
      <w:r w:rsidRPr="00A45D55">
        <w:rPr>
          <w:rFonts w:ascii="Arial" w:hAnsi="Arial" w:cs="Arial"/>
          <w:sz w:val="24"/>
          <w:szCs w:val="24"/>
        </w:rPr>
        <w:t>I ketvirčiui</w:t>
      </w:r>
      <w:r w:rsidRPr="003E3F8F">
        <w:rPr>
          <w:rFonts w:ascii="Arial" w:hAnsi="Arial" w:cs="Arial"/>
          <w:sz w:val="24"/>
          <w:szCs w:val="24"/>
        </w:rPr>
        <w:t xml:space="preserve"> </w:t>
      </w:r>
      <w:r w:rsidRPr="004865BC">
        <w:rPr>
          <w:rFonts w:ascii="Arial" w:hAnsi="Arial" w:cs="Arial"/>
          <w:sz w:val="24"/>
          <w:szCs w:val="24"/>
        </w:rPr>
        <w:t xml:space="preserve">patvirtintas asignavimų planas, įskaitant patikslinimus – </w:t>
      </w:r>
      <w:r w:rsidR="003E3F8F" w:rsidRPr="004D3FD1">
        <w:rPr>
          <w:rFonts w:ascii="Arial" w:hAnsi="Arial" w:cs="Arial"/>
          <w:sz w:val="24"/>
          <w:szCs w:val="24"/>
        </w:rPr>
        <w:t>8</w:t>
      </w:r>
      <w:r w:rsidR="00A45D55" w:rsidRPr="004D3FD1">
        <w:rPr>
          <w:rFonts w:ascii="Arial" w:hAnsi="Arial" w:cs="Arial"/>
          <w:sz w:val="24"/>
          <w:szCs w:val="24"/>
        </w:rPr>
        <w:t>000,00</w:t>
      </w:r>
      <w:r w:rsidR="00A45D55">
        <w:rPr>
          <w:rFonts w:ascii="Arial" w:hAnsi="Arial" w:cs="Arial"/>
          <w:sz w:val="24"/>
          <w:szCs w:val="24"/>
        </w:rPr>
        <w:t xml:space="preserve"> </w:t>
      </w:r>
      <w:r w:rsidR="007133CF">
        <w:rPr>
          <w:rFonts w:ascii="Arial" w:hAnsi="Arial" w:cs="Arial"/>
          <w:sz w:val="24"/>
          <w:szCs w:val="24"/>
        </w:rPr>
        <w:t>Eur</w:t>
      </w:r>
      <w:r w:rsidRPr="004865BC">
        <w:rPr>
          <w:rFonts w:ascii="Arial" w:hAnsi="Arial" w:cs="Arial"/>
          <w:sz w:val="24"/>
          <w:szCs w:val="24"/>
        </w:rPr>
        <w:t xml:space="preserve">. Per 2026 metų </w:t>
      </w:r>
      <w:r w:rsidRPr="004D3FD1">
        <w:rPr>
          <w:rFonts w:ascii="Arial" w:hAnsi="Arial" w:cs="Arial"/>
          <w:sz w:val="24"/>
          <w:szCs w:val="24"/>
        </w:rPr>
        <w:t>I ketvirtį</w:t>
      </w:r>
      <w:r w:rsidRPr="003E3F8F">
        <w:rPr>
          <w:rFonts w:ascii="Arial" w:hAnsi="Arial" w:cs="Arial"/>
          <w:sz w:val="24"/>
          <w:szCs w:val="24"/>
        </w:rPr>
        <w:t xml:space="preserve"> </w:t>
      </w:r>
      <w:r w:rsidRPr="004865BC">
        <w:rPr>
          <w:rFonts w:ascii="Arial" w:hAnsi="Arial" w:cs="Arial"/>
          <w:sz w:val="24"/>
          <w:szCs w:val="24"/>
        </w:rPr>
        <w:t xml:space="preserve">gauti asignavimai sudaro </w:t>
      </w:r>
      <w:r w:rsidR="003E3F8F" w:rsidRPr="004D3FD1">
        <w:rPr>
          <w:rFonts w:ascii="Arial" w:hAnsi="Arial" w:cs="Arial"/>
          <w:sz w:val="24"/>
          <w:szCs w:val="24"/>
        </w:rPr>
        <w:t>8</w:t>
      </w:r>
      <w:r w:rsidR="004D3FD1" w:rsidRPr="004D3FD1">
        <w:rPr>
          <w:rFonts w:ascii="Arial" w:hAnsi="Arial" w:cs="Arial"/>
          <w:sz w:val="24"/>
          <w:szCs w:val="24"/>
        </w:rPr>
        <w:t>000,00</w:t>
      </w:r>
      <w:r w:rsidRPr="004865BC">
        <w:rPr>
          <w:rFonts w:ascii="Arial" w:hAnsi="Arial" w:cs="Arial"/>
          <w:sz w:val="24"/>
          <w:szCs w:val="24"/>
        </w:rPr>
        <w:t xml:space="preserve"> </w:t>
      </w:r>
      <w:r w:rsidR="007133CF">
        <w:rPr>
          <w:rFonts w:ascii="Arial" w:hAnsi="Arial" w:cs="Arial"/>
          <w:sz w:val="24"/>
          <w:szCs w:val="24"/>
        </w:rPr>
        <w:t>Eur</w:t>
      </w:r>
      <w:r w:rsidRPr="004865BC">
        <w:rPr>
          <w:rFonts w:ascii="Arial" w:hAnsi="Arial" w:cs="Arial"/>
          <w:sz w:val="24"/>
          <w:szCs w:val="24"/>
        </w:rPr>
        <w:t xml:space="preserve">, panaudota </w:t>
      </w:r>
      <w:r w:rsidR="00BB2B1B" w:rsidRPr="00BB2B1B">
        <w:rPr>
          <w:rFonts w:ascii="Arial" w:hAnsi="Arial" w:cs="Arial"/>
          <w:sz w:val="24"/>
          <w:szCs w:val="24"/>
        </w:rPr>
        <w:t>8000,00</w:t>
      </w:r>
      <w:r w:rsidR="007133CF">
        <w:rPr>
          <w:rFonts w:ascii="Arial" w:hAnsi="Arial" w:cs="Arial"/>
          <w:sz w:val="24"/>
          <w:szCs w:val="24"/>
        </w:rPr>
        <w:t xml:space="preserve"> Eur</w:t>
      </w:r>
      <w:r w:rsidRPr="004865BC">
        <w:rPr>
          <w:rFonts w:ascii="Arial" w:hAnsi="Arial" w:cs="Arial"/>
          <w:sz w:val="24"/>
          <w:szCs w:val="24"/>
        </w:rPr>
        <w:t xml:space="preserve">. 2026 metų </w:t>
      </w:r>
      <w:r w:rsidRPr="00806CE6">
        <w:rPr>
          <w:rFonts w:ascii="Arial" w:hAnsi="Arial" w:cs="Arial"/>
          <w:sz w:val="24"/>
          <w:szCs w:val="24"/>
        </w:rPr>
        <w:t>I ketvirčio</w:t>
      </w:r>
      <w:r w:rsidRPr="00C33082">
        <w:rPr>
          <w:rFonts w:ascii="Arial" w:hAnsi="Arial" w:cs="Arial"/>
          <w:sz w:val="24"/>
          <w:szCs w:val="24"/>
        </w:rPr>
        <w:t xml:space="preserve"> </w:t>
      </w:r>
      <w:r w:rsidRPr="004865BC">
        <w:rPr>
          <w:rFonts w:ascii="Arial" w:hAnsi="Arial" w:cs="Arial"/>
          <w:sz w:val="24"/>
          <w:szCs w:val="24"/>
        </w:rPr>
        <w:t xml:space="preserve">įstaigos asignavimų plano vykdymas sudaro </w:t>
      </w:r>
      <w:r w:rsidR="00C33082" w:rsidRPr="00806CE6">
        <w:rPr>
          <w:rFonts w:ascii="Arial" w:hAnsi="Arial" w:cs="Arial"/>
          <w:sz w:val="24"/>
          <w:szCs w:val="24"/>
        </w:rPr>
        <w:t>100</w:t>
      </w:r>
      <w:r w:rsidRPr="004865BC">
        <w:rPr>
          <w:rFonts w:ascii="Arial" w:hAnsi="Arial" w:cs="Arial"/>
          <w:color w:val="FF0000"/>
          <w:sz w:val="24"/>
          <w:szCs w:val="24"/>
        </w:rPr>
        <w:t xml:space="preserve"> </w:t>
      </w:r>
      <w:r w:rsidRPr="004865BC">
        <w:rPr>
          <w:rFonts w:ascii="Arial" w:hAnsi="Arial" w:cs="Arial"/>
          <w:sz w:val="24"/>
          <w:szCs w:val="24"/>
        </w:rPr>
        <w:t xml:space="preserve">proc. planuotų biudžeto asignavimų. </w:t>
      </w:r>
    </w:p>
    <w:p w14:paraId="2299CFDD" w14:textId="2A583E58" w:rsidR="00D26ECE" w:rsidRPr="00F334DE" w:rsidRDefault="004865BC" w:rsidP="004865BC">
      <w:pPr>
        <w:pStyle w:val="Sraopastraipa"/>
        <w:numPr>
          <w:ilvl w:val="0"/>
          <w:numId w:val="7"/>
        </w:numPr>
        <w:spacing w:after="0" w:line="240" w:lineRule="auto"/>
        <w:ind w:left="0" w:firstLine="851"/>
        <w:jc w:val="both"/>
        <w:rPr>
          <w:rFonts w:ascii="Arial" w:hAnsi="Arial" w:cs="Arial"/>
          <w:sz w:val="24"/>
          <w:szCs w:val="24"/>
        </w:rPr>
      </w:pPr>
      <w:r w:rsidRPr="004865BC">
        <w:rPr>
          <w:rFonts w:ascii="Arial" w:hAnsi="Arial" w:cs="Arial"/>
          <w:sz w:val="24"/>
          <w:szCs w:val="24"/>
        </w:rPr>
        <w:t xml:space="preserve">Dotacija ugdymo </w:t>
      </w:r>
      <w:r w:rsidR="00F614DF" w:rsidRPr="004913F7">
        <w:rPr>
          <w:rFonts w:ascii="Arial" w:hAnsi="Arial" w:cs="Arial"/>
          <w:sz w:val="24"/>
          <w:szCs w:val="24"/>
        </w:rPr>
        <w:t>(</w:t>
      </w:r>
      <w:r w:rsidR="00494676" w:rsidRPr="009C78E3">
        <w:rPr>
          <w:rFonts w:ascii="Arial" w:hAnsi="Arial" w:cs="Arial"/>
          <w:sz w:val="24"/>
          <w:szCs w:val="24"/>
        </w:rPr>
        <w:t>ML, ML(UK)</w:t>
      </w:r>
      <w:r w:rsidR="00F614DF" w:rsidRPr="00494676">
        <w:rPr>
          <w:rFonts w:ascii="Arial" w:hAnsi="Arial" w:cs="Arial"/>
          <w:sz w:val="24"/>
          <w:szCs w:val="24"/>
        </w:rPr>
        <w:t xml:space="preserve">) </w:t>
      </w:r>
      <w:r w:rsidRPr="004865BC">
        <w:rPr>
          <w:rFonts w:ascii="Arial" w:hAnsi="Arial" w:cs="Arial"/>
          <w:sz w:val="24"/>
          <w:szCs w:val="24"/>
        </w:rPr>
        <w:t>reikmėms finansuoti</w:t>
      </w:r>
      <w:r>
        <w:rPr>
          <w:rFonts w:ascii="Arial" w:hAnsi="Arial" w:cs="Arial"/>
          <w:sz w:val="24"/>
          <w:szCs w:val="24"/>
        </w:rPr>
        <w:t>.</w:t>
      </w:r>
      <w:r w:rsidRPr="00475A02">
        <w:t xml:space="preserve"> </w:t>
      </w:r>
      <w:r w:rsidR="00D26ECE" w:rsidRPr="004865BC">
        <w:rPr>
          <w:rFonts w:ascii="Arial" w:hAnsi="Arial" w:cs="Arial"/>
          <w:sz w:val="24"/>
          <w:szCs w:val="24"/>
        </w:rPr>
        <w:t>202</w:t>
      </w:r>
      <w:r w:rsidR="00736526" w:rsidRPr="004865BC">
        <w:rPr>
          <w:rFonts w:ascii="Arial" w:hAnsi="Arial" w:cs="Arial"/>
          <w:sz w:val="24"/>
          <w:szCs w:val="24"/>
        </w:rPr>
        <w:t>6</w:t>
      </w:r>
      <w:r w:rsidR="00D26ECE" w:rsidRPr="004865BC">
        <w:rPr>
          <w:rFonts w:ascii="Arial" w:hAnsi="Arial" w:cs="Arial"/>
          <w:sz w:val="24"/>
          <w:szCs w:val="24"/>
        </w:rPr>
        <w:t xml:space="preserve"> met</w:t>
      </w:r>
      <w:r w:rsidR="0034107F" w:rsidRPr="004865BC">
        <w:rPr>
          <w:rFonts w:ascii="Arial" w:hAnsi="Arial" w:cs="Arial"/>
          <w:sz w:val="24"/>
          <w:szCs w:val="24"/>
        </w:rPr>
        <w:t xml:space="preserve">ų </w:t>
      </w:r>
      <w:r w:rsidR="0034107F" w:rsidRPr="00A702C8">
        <w:rPr>
          <w:rFonts w:ascii="Arial" w:hAnsi="Arial" w:cs="Arial"/>
          <w:sz w:val="24"/>
          <w:szCs w:val="24"/>
        </w:rPr>
        <w:t>I ketvirčiui</w:t>
      </w:r>
      <w:r w:rsidR="0034107F" w:rsidRPr="00494676">
        <w:rPr>
          <w:rFonts w:ascii="Arial" w:hAnsi="Arial" w:cs="Arial"/>
          <w:sz w:val="24"/>
          <w:szCs w:val="24"/>
        </w:rPr>
        <w:t xml:space="preserve"> </w:t>
      </w:r>
      <w:r w:rsidR="00D26ECE" w:rsidRPr="004865BC">
        <w:rPr>
          <w:rFonts w:ascii="Arial" w:hAnsi="Arial" w:cs="Arial"/>
          <w:sz w:val="24"/>
          <w:szCs w:val="24"/>
        </w:rPr>
        <w:t>patvirtintas asignavimų planas</w:t>
      </w:r>
      <w:r w:rsidRPr="004865BC">
        <w:rPr>
          <w:rFonts w:ascii="Arial" w:hAnsi="Arial" w:cs="Arial"/>
          <w:sz w:val="24"/>
          <w:szCs w:val="24"/>
        </w:rPr>
        <w:t>, įskaitant patikslinimus</w:t>
      </w:r>
      <w:r w:rsidR="00D26ECE" w:rsidRPr="004865BC">
        <w:rPr>
          <w:rFonts w:ascii="Arial" w:hAnsi="Arial" w:cs="Arial"/>
          <w:sz w:val="24"/>
          <w:szCs w:val="24"/>
        </w:rPr>
        <w:t xml:space="preserve"> – </w:t>
      </w:r>
      <w:r w:rsidR="00A702C8" w:rsidRPr="00A702C8">
        <w:rPr>
          <w:rFonts w:ascii="Arial" w:hAnsi="Arial" w:cs="Arial"/>
          <w:sz w:val="24"/>
          <w:szCs w:val="24"/>
        </w:rPr>
        <w:t>209800,00</w:t>
      </w:r>
      <w:r w:rsidR="000E7EF5" w:rsidRPr="004865BC">
        <w:rPr>
          <w:rFonts w:ascii="Arial" w:hAnsi="Arial" w:cs="Arial"/>
          <w:i/>
          <w:iCs/>
          <w:sz w:val="24"/>
          <w:szCs w:val="24"/>
        </w:rPr>
        <w:t xml:space="preserve"> </w:t>
      </w:r>
      <w:r w:rsidR="007133CF">
        <w:rPr>
          <w:rFonts w:ascii="Arial" w:hAnsi="Arial" w:cs="Arial"/>
          <w:sz w:val="24"/>
          <w:szCs w:val="24"/>
        </w:rPr>
        <w:t>Eur</w:t>
      </w:r>
      <w:r w:rsidR="00D26ECE" w:rsidRPr="004865BC">
        <w:rPr>
          <w:rFonts w:ascii="Arial" w:hAnsi="Arial" w:cs="Arial"/>
          <w:sz w:val="24"/>
          <w:szCs w:val="24"/>
        </w:rPr>
        <w:t>. Per 202</w:t>
      </w:r>
      <w:r w:rsidR="00736526" w:rsidRPr="004865BC">
        <w:rPr>
          <w:rFonts w:ascii="Arial" w:hAnsi="Arial" w:cs="Arial"/>
          <w:sz w:val="24"/>
          <w:szCs w:val="24"/>
        </w:rPr>
        <w:t>6</w:t>
      </w:r>
      <w:r w:rsidR="00D26ECE" w:rsidRPr="004865BC">
        <w:rPr>
          <w:rFonts w:ascii="Arial" w:hAnsi="Arial" w:cs="Arial"/>
          <w:sz w:val="24"/>
          <w:szCs w:val="24"/>
        </w:rPr>
        <w:t xml:space="preserve"> met</w:t>
      </w:r>
      <w:r w:rsidR="0034107F" w:rsidRPr="004865BC">
        <w:rPr>
          <w:rFonts w:ascii="Arial" w:hAnsi="Arial" w:cs="Arial"/>
          <w:sz w:val="24"/>
          <w:szCs w:val="24"/>
        </w:rPr>
        <w:t xml:space="preserve">ų </w:t>
      </w:r>
      <w:r w:rsidR="0034107F" w:rsidRPr="00B13715">
        <w:rPr>
          <w:rFonts w:ascii="Arial" w:hAnsi="Arial" w:cs="Arial"/>
          <w:sz w:val="24"/>
          <w:szCs w:val="24"/>
        </w:rPr>
        <w:t>I</w:t>
      </w:r>
      <w:r w:rsidR="0034107F" w:rsidRPr="004865BC">
        <w:rPr>
          <w:rFonts w:ascii="Arial" w:hAnsi="Arial" w:cs="Arial"/>
          <w:i/>
          <w:iCs/>
          <w:color w:val="FF0000"/>
          <w:sz w:val="24"/>
          <w:szCs w:val="24"/>
        </w:rPr>
        <w:t xml:space="preserve"> </w:t>
      </w:r>
      <w:r w:rsidR="0034107F" w:rsidRPr="00B13715">
        <w:rPr>
          <w:rFonts w:ascii="Arial" w:hAnsi="Arial" w:cs="Arial"/>
          <w:sz w:val="24"/>
          <w:szCs w:val="24"/>
        </w:rPr>
        <w:t>ketvirtį</w:t>
      </w:r>
      <w:r w:rsidR="0034107F" w:rsidRPr="00B13715">
        <w:rPr>
          <w:rFonts w:ascii="Arial" w:hAnsi="Arial" w:cs="Arial"/>
          <w:color w:val="FF0000"/>
          <w:sz w:val="24"/>
          <w:szCs w:val="24"/>
        </w:rPr>
        <w:t xml:space="preserve"> </w:t>
      </w:r>
      <w:r w:rsidR="00D26ECE" w:rsidRPr="004865BC">
        <w:rPr>
          <w:rFonts w:ascii="Arial" w:hAnsi="Arial" w:cs="Arial"/>
          <w:sz w:val="24"/>
          <w:szCs w:val="24"/>
        </w:rPr>
        <w:t xml:space="preserve">gauti asignavimai sudaro </w:t>
      </w:r>
      <w:r w:rsidR="00B13715" w:rsidRPr="00B13715">
        <w:rPr>
          <w:rFonts w:ascii="Arial" w:hAnsi="Arial" w:cs="Arial"/>
          <w:sz w:val="24"/>
          <w:szCs w:val="24"/>
        </w:rPr>
        <w:t>121542,98</w:t>
      </w:r>
      <w:r w:rsidR="000E7EF5" w:rsidRPr="004865BC">
        <w:rPr>
          <w:rFonts w:ascii="Arial" w:hAnsi="Arial" w:cs="Arial"/>
          <w:sz w:val="24"/>
          <w:szCs w:val="24"/>
        </w:rPr>
        <w:t xml:space="preserve"> </w:t>
      </w:r>
      <w:r w:rsidR="007133CF">
        <w:rPr>
          <w:rFonts w:ascii="Arial" w:hAnsi="Arial" w:cs="Arial"/>
          <w:sz w:val="24"/>
          <w:szCs w:val="24"/>
        </w:rPr>
        <w:t>Eur</w:t>
      </w:r>
      <w:r w:rsidR="00A96674" w:rsidRPr="004865BC">
        <w:rPr>
          <w:rFonts w:ascii="Arial" w:hAnsi="Arial" w:cs="Arial"/>
          <w:sz w:val="24"/>
          <w:szCs w:val="24"/>
        </w:rPr>
        <w:t xml:space="preserve">, panaudota </w:t>
      </w:r>
      <w:r w:rsidR="00B13715" w:rsidRPr="00B13715">
        <w:rPr>
          <w:rFonts w:ascii="Arial" w:hAnsi="Arial" w:cs="Arial"/>
          <w:sz w:val="24"/>
          <w:szCs w:val="24"/>
        </w:rPr>
        <w:t>121542,98</w:t>
      </w:r>
      <w:r w:rsidR="000E7EF5" w:rsidRPr="004865BC">
        <w:rPr>
          <w:rFonts w:ascii="Arial" w:hAnsi="Arial" w:cs="Arial"/>
          <w:sz w:val="24"/>
          <w:szCs w:val="24"/>
        </w:rPr>
        <w:t xml:space="preserve"> </w:t>
      </w:r>
      <w:r w:rsidR="007133CF">
        <w:rPr>
          <w:rFonts w:ascii="Arial" w:hAnsi="Arial" w:cs="Arial"/>
          <w:sz w:val="24"/>
          <w:szCs w:val="24"/>
        </w:rPr>
        <w:t>Eur</w:t>
      </w:r>
      <w:r w:rsidR="00A96674" w:rsidRPr="004865BC">
        <w:rPr>
          <w:rFonts w:ascii="Arial" w:hAnsi="Arial" w:cs="Arial"/>
          <w:sz w:val="24"/>
          <w:szCs w:val="24"/>
        </w:rPr>
        <w:t xml:space="preserve">. </w:t>
      </w:r>
      <w:r w:rsidR="00D26ECE" w:rsidRPr="004865BC">
        <w:rPr>
          <w:rFonts w:ascii="Arial" w:hAnsi="Arial" w:cs="Arial"/>
          <w:sz w:val="24"/>
          <w:szCs w:val="24"/>
        </w:rPr>
        <w:t>202</w:t>
      </w:r>
      <w:r w:rsidR="00736526" w:rsidRPr="004865BC">
        <w:rPr>
          <w:rFonts w:ascii="Arial" w:hAnsi="Arial" w:cs="Arial"/>
          <w:sz w:val="24"/>
          <w:szCs w:val="24"/>
        </w:rPr>
        <w:t>6</w:t>
      </w:r>
      <w:r w:rsidR="00D26ECE" w:rsidRPr="004865BC">
        <w:rPr>
          <w:rFonts w:ascii="Arial" w:hAnsi="Arial" w:cs="Arial"/>
          <w:sz w:val="24"/>
          <w:szCs w:val="24"/>
        </w:rPr>
        <w:t xml:space="preserve"> metų </w:t>
      </w:r>
      <w:r w:rsidR="0034107F" w:rsidRPr="00F334DE">
        <w:rPr>
          <w:rFonts w:ascii="Arial" w:hAnsi="Arial" w:cs="Arial"/>
          <w:sz w:val="24"/>
          <w:szCs w:val="24"/>
        </w:rPr>
        <w:t>I ketvirčio</w:t>
      </w:r>
      <w:r w:rsidR="0034107F" w:rsidRPr="00494676">
        <w:rPr>
          <w:rFonts w:ascii="Arial" w:hAnsi="Arial" w:cs="Arial"/>
          <w:sz w:val="24"/>
          <w:szCs w:val="24"/>
        </w:rPr>
        <w:t xml:space="preserve"> </w:t>
      </w:r>
      <w:r w:rsidR="0034107F" w:rsidRPr="004865BC">
        <w:rPr>
          <w:rFonts w:ascii="Arial" w:hAnsi="Arial" w:cs="Arial"/>
          <w:sz w:val="24"/>
          <w:szCs w:val="24"/>
        </w:rPr>
        <w:t>įstaigos</w:t>
      </w:r>
      <w:r w:rsidR="00D26ECE" w:rsidRPr="004865BC">
        <w:rPr>
          <w:rFonts w:ascii="Arial" w:hAnsi="Arial" w:cs="Arial"/>
          <w:sz w:val="24"/>
          <w:szCs w:val="24"/>
        </w:rPr>
        <w:t xml:space="preserve"> asignavimų plano vykdymas sudaro </w:t>
      </w:r>
      <w:r w:rsidR="00331A4B" w:rsidRPr="00F334DE">
        <w:rPr>
          <w:rFonts w:ascii="Arial" w:hAnsi="Arial" w:cs="Arial"/>
          <w:sz w:val="24"/>
          <w:szCs w:val="24"/>
        </w:rPr>
        <w:t>57,9</w:t>
      </w:r>
      <w:r w:rsidR="00D26ECE" w:rsidRPr="00494676">
        <w:rPr>
          <w:rFonts w:ascii="Arial" w:hAnsi="Arial" w:cs="Arial"/>
          <w:sz w:val="24"/>
          <w:szCs w:val="24"/>
        </w:rPr>
        <w:t xml:space="preserve"> </w:t>
      </w:r>
      <w:r w:rsidR="00D26ECE" w:rsidRPr="004865BC">
        <w:rPr>
          <w:rFonts w:ascii="Arial" w:hAnsi="Arial" w:cs="Arial"/>
          <w:sz w:val="24"/>
          <w:szCs w:val="24"/>
        </w:rPr>
        <w:t xml:space="preserve">proc. planuotų biudžeto asignavimų. Per ataskaitinį laikotarpį liko nepanaudota </w:t>
      </w:r>
      <w:r w:rsidR="00F334DE" w:rsidRPr="00F334DE">
        <w:rPr>
          <w:rFonts w:ascii="Arial" w:hAnsi="Arial" w:cs="Arial"/>
          <w:sz w:val="24"/>
          <w:szCs w:val="24"/>
        </w:rPr>
        <w:t>88257,02</w:t>
      </w:r>
      <w:r w:rsidR="000E7EF5" w:rsidRPr="00F334DE">
        <w:rPr>
          <w:rFonts w:ascii="Arial" w:hAnsi="Arial" w:cs="Arial"/>
          <w:sz w:val="24"/>
          <w:szCs w:val="24"/>
        </w:rPr>
        <w:t xml:space="preserve"> </w:t>
      </w:r>
      <w:r w:rsidR="007133CF">
        <w:rPr>
          <w:rFonts w:ascii="Arial" w:hAnsi="Arial" w:cs="Arial"/>
          <w:sz w:val="24"/>
          <w:szCs w:val="24"/>
        </w:rPr>
        <w:t>Eur</w:t>
      </w:r>
      <w:r w:rsidR="00D26ECE" w:rsidRPr="004865BC">
        <w:rPr>
          <w:rFonts w:ascii="Arial" w:hAnsi="Arial" w:cs="Arial"/>
          <w:sz w:val="24"/>
          <w:szCs w:val="24"/>
        </w:rPr>
        <w:t xml:space="preserve"> </w:t>
      </w:r>
      <w:r w:rsidR="00D26ECE" w:rsidRPr="00F334DE">
        <w:rPr>
          <w:rFonts w:ascii="Arial" w:hAnsi="Arial" w:cs="Arial"/>
          <w:sz w:val="24"/>
          <w:szCs w:val="24"/>
        </w:rPr>
        <w:t xml:space="preserve">planuotų asignavimų </w:t>
      </w:r>
      <w:r w:rsidR="0034107F" w:rsidRPr="00F334DE">
        <w:rPr>
          <w:rFonts w:ascii="Arial" w:hAnsi="Arial" w:cs="Arial"/>
          <w:sz w:val="24"/>
          <w:szCs w:val="24"/>
        </w:rPr>
        <w:t xml:space="preserve">darbo užmokesčiui, </w:t>
      </w:r>
      <w:r w:rsidR="00D26ECE" w:rsidRPr="00F334DE">
        <w:rPr>
          <w:rFonts w:ascii="Arial" w:hAnsi="Arial" w:cs="Arial"/>
          <w:sz w:val="24"/>
          <w:szCs w:val="24"/>
        </w:rPr>
        <w:t>prekių</w:t>
      </w:r>
      <w:r w:rsidR="00F334DE" w:rsidRPr="00F334DE">
        <w:rPr>
          <w:rFonts w:ascii="Arial" w:hAnsi="Arial" w:cs="Arial"/>
          <w:sz w:val="24"/>
          <w:szCs w:val="24"/>
        </w:rPr>
        <w:t xml:space="preserve"> ir </w:t>
      </w:r>
      <w:r w:rsidR="00D26ECE" w:rsidRPr="00F334DE">
        <w:rPr>
          <w:rFonts w:ascii="Arial" w:hAnsi="Arial" w:cs="Arial"/>
          <w:sz w:val="24"/>
          <w:szCs w:val="24"/>
        </w:rPr>
        <w:t>paslaugų įsigijimui</w:t>
      </w:r>
      <w:r w:rsidR="00CB2652" w:rsidRPr="00F334DE">
        <w:rPr>
          <w:rFonts w:ascii="Arial" w:hAnsi="Arial" w:cs="Arial"/>
          <w:sz w:val="24"/>
          <w:szCs w:val="24"/>
        </w:rPr>
        <w:t>.</w:t>
      </w:r>
      <w:r w:rsidR="00D26ECE" w:rsidRPr="00F334DE">
        <w:rPr>
          <w:rFonts w:ascii="Arial" w:hAnsi="Arial" w:cs="Arial"/>
          <w:sz w:val="24"/>
          <w:szCs w:val="24"/>
        </w:rPr>
        <w:t xml:space="preserve"> </w:t>
      </w:r>
    </w:p>
    <w:p w14:paraId="28216470" w14:textId="55A5CF72" w:rsidR="00F614DF" w:rsidRPr="00A528E2" w:rsidRDefault="00F614DF" w:rsidP="00F614DF">
      <w:pPr>
        <w:pStyle w:val="Sraopastraipa"/>
        <w:numPr>
          <w:ilvl w:val="0"/>
          <w:numId w:val="7"/>
        </w:numPr>
        <w:spacing w:after="0" w:line="240" w:lineRule="auto"/>
        <w:ind w:left="0" w:firstLine="851"/>
        <w:jc w:val="both"/>
        <w:rPr>
          <w:rFonts w:ascii="Arial" w:hAnsi="Arial" w:cs="Arial"/>
          <w:sz w:val="24"/>
          <w:szCs w:val="24"/>
        </w:rPr>
      </w:pPr>
      <w:r>
        <w:rPr>
          <w:rFonts w:ascii="Arial" w:hAnsi="Arial" w:cs="Arial"/>
          <w:sz w:val="24"/>
          <w:szCs w:val="24"/>
        </w:rPr>
        <w:t>Savivaldybės b</w:t>
      </w:r>
      <w:r w:rsidRPr="004865BC">
        <w:rPr>
          <w:rFonts w:ascii="Arial" w:hAnsi="Arial" w:cs="Arial"/>
          <w:sz w:val="24"/>
          <w:szCs w:val="24"/>
        </w:rPr>
        <w:t>iudžet</w:t>
      </w:r>
      <w:r>
        <w:rPr>
          <w:rFonts w:ascii="Arial" w:hAnsi="Arial" w:cs="Arial"/>
          <w:sz w:val="24"/>
          <w:szCs w:val="24"/>
        </w:rPr>
        <w:t>o lėšos</w:t>
      </w:r>
      <w:r w:rsidR="0030402A">
        <w:rPr>
          <w:rFonts w:ascii="Arial" w:hAnsi="Arial" w:cs="Arial"/>
          <w:sz w:val="24"/>
          <w:szCs w:val="24"/>
        </w:rPr>
        <w:t xml:space="preserve"> </w:t>
      </w:r>
      <w:r w:rsidR="0030402A" w:rsidRPr="00F464E9">
        <w:rPr>
          <w:rFonts w:ascii="Arial" w:hAnsi="Arial" w:cs="Arial"/>
          <w:sz w:val="24"/>
          <w:szCs w:val="24"/>
        </w:rPr>
        <w:t>(SB)</w:t>
      </w:r>
      <w:r w:rsidRPr="004865BC">
        <w:rPr>
          <w:rFonts w:ascii="Arial" w:hAnsi="Arial" w:cs="Arial"/>
          <w:sz w:val="24"/>
          <w:szCs w:val="24"/>
        </w:rPr>
        <w:t>.</w:t>
      </w:r>
      <w:r>
        <w:rPr>
          <w:rFonts w:ascii="Arial" w:hAnsi="Arial" w:cs="Arial"/>
          <w:sz w:val="24"/>
          <w:szCs w:val="24"/>
        </w:rPr>
        <w:t xml:space="preserve"> </w:t>
      </w:r>
      <w:r w:rsidRPr="004865BC">
        <w:rPr>
          <w:rFonts w:ascii="Arial" w:hAnsi="Arial" w:cs="Arial"/>
          <w:sz w:val="24"/>
          <w:szCs w:val="24"/>
        </w:rPr>
        <w:t xml:space="preserve">2026 metų </w:t>
      </w:r>
      <w:r w:rsidRPr="00CB15CB">
        <w:rPr>
          <w:rFonts w:ascii="Arial" w:hAnsi="Arial" w:cs="Arial"/>
          <w:sz w:val="24"/>
          <w:szCs w:val="24"/>
        </w:rPr>
        <w:t xml:space="preserve">I ketvirčiui </w:t>
      </w:r>
      <w:r w:rsidRPr="004865BC">
        <w:rPr>
          <w:rFonts w:ascii="Arial" w:hAnsi="Arial" w:cs="Arial"/>
          <w:sz w:val="24"/>
          <w:szCs w:val="24"/>
        </w:rPr>
        <w:t xml:space="preserve">patvirtintas asignavimų planas, įskaitant patikslinimus – </w:t>
      </w:r>
      <w:r w:rsidR="00CB15CB" w:rsidRPr="00CB15CB">
        <w:rPr>
          <w:rFonts w:ascii="Arial" w:hAnsi="Arial" w:cs="Arial"/>
          <w:sz w:val="24"/>
          <w:szCs w:val="24"/>
        </w:rPr>
        <w:t>314700,00</w:t>
      </w:r>
      <w:r w:rsidRPr="00CB15CB">
        <w:rPr>
          <w:rFonts w:ascii="Arial" w:hAnsi="Arial" w:cs="Arial"/>
          <w:i/>
          <w:iCs/>
          <w:sz w:val="24"/>
          <w:szCs w:val="24"/>
        </w:rPr>
        <w:t xml:space="preserve"> </w:t>
      </w:r>
      <w:r w:rsidR="007133CF">
        <w:rPr>
          <w:rFonts w:ascii="Arial" w:hAnsi="Arial" w:cs="Arial"/>
          <w:sz w:val="24"/>
          <w:szCs w:val="24"/>
        </w:rPr>
        <w:t>Eur</w:t>
      </w:r>
      <w:r w:rsidRPr="004865BC">
        <w:rPr>
          <w:rFonts w:ascii="Arial" w:hAnsi="Arial" w:cs="Arial"/>
          <w:sz w:val="24"/>
          <w:szCs w:val="24"/>
        </w:rPr>
        <w:t xml:space="preserve">. Per 2026 metų </w:t>
      </w:r>
      <w:r w:rsidRPr="00CB15CB">
        <w:rPr>
          <w:rFonts w:ascii="Arial" w:hAnsi="Arial" w:cs="Arial"/>
          <w:sz w:val="24"/>
          <w:szCs w:val="24"/>
        </w:rPr>
        <w:t xml:space="preserve">I ketvirtį </w:t>
      </w:r>
      <w:r w:rsidRPr="004865BC">
        <w:rPr>
          <w:rFonts w:ascii="Arial" w:hAnsi="Arial" w:cs="Arial"/>
          <w:sz w:val="24"/>
          <w:szCs w:val="24"/>
        </w:rPr>
        <w:t xml:space="preserve">gauti asignavimai sudaro </w:t>
      </w:r>
      <w:r w:rsidR="00CB15CB" w:rsidRPr="00CB15CB">
        <w:rPr>
          <w:rFonts w:ascii="Arial" w:hAnsi="Arial" w:cs="Arial"/>
          <w:sz w:val="24"/>
          <w:szCs w:val="24"/>
        </w:rPr>
        <w:t>239623,52</w:t>
      </w:r>
      <w:r w:rsidRPr="00CB15CB">
        <w:rPr>
          <w:rFonts w:ascii="Arial" w:hAnsi="Arial" w:cs="Arial"/>
          <w:sz w:val="24"/>
          <w:szCs w:val="24"/>
        </w:rPr>
        <w:t xml:space="preserve"> </w:t>
      </w:r>
      <w:r w:rsidR="007133CF">
        <w:rPr>
          <w:rFonts w:ascii="Arial" w:hAnsi="Arial" w:cs="Arial"/>
          <w:sz w:val="24"/>
          <w:szCs w:val="24"/>
        </w:rPr>
        <w:t>Eur</w:t>
      </w:r>
      <w:r w:rsidRPr="004865BC">
        <w:rPr>
          <w:rFonts w:ascii="Arial" w:hAnsi="Arial" w:cs="Arial"/>
          <w:sz w:val="24"/>
          <w:szCs w:val="24"/>
        </w:rPr>
        <w:t xml:space="preserve">, panaudota </w:t>
      </w:r>
      <w:r w:rsidR="00984C9B" w:rsidRPr="00CB15CB">
        <w:rPr>
          <w:rFonts w:ascii="Arial" w:hAnsi="Arial" w:cs="Arial"/>
          <w:sz w:val="24"/>
          <w:szCs w:val="24"/>
        </w:rPr>
        <w:t xml:space="preserve">239623,52 </w:t>
      </w:r>
      <w:r w:rsidR="007133CF">
        <w:rPr>
          <w:rFonts w:ascii="Arial" w:hAnsi="Arial" w:cs="Arial"/>
          <w:sz w:val="24"/>
          <w:szCs w:val="24"/>
        </w:rPr>
        <w:t>Eur</w:t>
      </w:r>
      <w:r w:rsidRPr="004865BC">
        <w:rPr>
          <w:rFonts w:ascii="Arial" w:hAnsi="Arial" w:cs="Arial"/>
          <w:sz w:val="24"/>
          <w:szCs w:val="24"/>
        </w:rPr>
        <w:t xml:space="preserve">. 2026 metų </w:t>
      </w:r>
      <w:r w:rsidRPr="005A5A11">
        <w:rPr>
          <w:rFonts w:ascii="Arial" w:hAnsi="Arial" w:cs="Arial"/>
          <w:sz w:val="24"/>
          <w:szCs w:val="24"/>
        </w:rPr>
        <w:t xml:space="preserve">I ketvirčio </w:t>
      </w:r>
      <w:r w:rsidRPr="004865BC">
        <w:rPr>
          <w:rFonts w:ascii="Arial" w:hAnsi="Arial" w:cs="Arial"/>
          <w:sz w:val="24"/>
          <w:szCs w:val="24"/>
        </w:rPr>
        <w:t xml:space="preserve">įstaigos asignavimų plano vykdymas sudaro </w:t>
      </w:r>
      <w:r w:rsidR="005A5A11" w:rsidRPr="005A5A11">
        <w:rPr>
          <w:rFonts w:ascii="Arial" w:hAnsi="Arial" w:cs="Arial"/>
          <w:sz w:val="24"/>
          <w:szCs w:val="24"/>
        </w:rPr>
        <w:t>76,2</w:t>
      </w:r>
      <w:r w:rsidRPr="005A5A11">
        <w:rPr>
          <w:rFonts w:ascii="Arial" w:hAnsi="Arial" w:cs="Arial"/>
          <w:sz w:val="24"/>
          <w:szCs w:val="24"/>
        </w:rPr>
        <w:t xml:space="preserve"> </w:t>
      </w:r>
      <w:r w:rsidRPr="004865BC">
        <w:rPr>
          <w:rFonts w:ascii="Arial" w:hAnsi="Arial" w:cs="Arial"/>
          <w:sz w:val="24"/>
          <w:szCs w:val="24"/>
        </w:rPr>
        <w:t xml:space="preserve">proc. planuotų biudžeto asignavimų. Per ataskaitinį laikotarpį liko nepanaudota </w:t>
      </w:r>
      <w:r w:rsidR="00A528E2" w:rsidRPr="00A528E2">
        <w:rPr>
          <w:rFonts w:ascii="Arial" w:hAnsi="Arial" w:cs="Arial"/>
          <w:sz w:val="24"/>
          <w:szCs w:val="24"/>
        </w:rPr>
        <w:t>75076,48</w:t>
      </w:r>
      <w:r w:rsidRPr="00A528E2">
        <w:rPr>
          <w:rFonts w:ascii="Arial" w:hAnsi="Arial" w:cs="Arial"/>
          <w:sz w:val="24"/>
          <w:szCs w:val="24"/>
        </w:rPr>
        <w:t xml:space="preserve"> </w:t>
      </w:r>
      <w:r w:rsidR="007133CF">
        <w:rPr>
          <w:rFonts w:ascii="Arial" w:hAnsi="Arial" w:cs="Arial"/>
          <w:sz w:val="24"/>
          <w:szCs w:val="24"/>
        </w:rPr>
        <w:t>Eur</w:t>
      </w:r>
      <w:r w:rsidRPr="004865BC">
        <w:rPr>
          <w:rFonts w:ascii="Arial" w:hAnsi="Arial" w:cs="Arial"/>
          <w:sz w:val="24"/>
          <w:szCs w:val="24"/>
        </w:rPr>
        <w:t xml:space="preserve"> </w:t>
      </w:r>
      <w:r w:rsidRPr="00A528E2">
        <w:rPr>
          <w:rFonts w:ascii="Arial" w:hAnsi="Arial" w:cs="Arial"/>
          <w:sz w:val="24"/>
          <w:szCs w:val="24"/>
        </w:rPr>
        <w:t>planuotų asignavimų darbo užmokesčiui, prekių</w:t>
      </w:r>
      <w:r w:rsidR="00A528E2" w:rsidRPr="00A528E2">
        <w:rPr>
          <w:rFonts w:ascii="Arial" w:hAnsi="Arial" w:cs="Arial"/>
          <w:sz w:val="24"/>
          <w:szCs w:val="24"/>
        </w:rPr>
        <w:t xml:space="preserve"> ir</w:t>
      </w:r>
      <w:r w:rsidRPr="00A528E2">
        <w:rPr>
          <w:rFonts w:ascii="Arial" w:hAnsi="Arial" w:cs="Arial"/>
          <w:sz w:val="24"/>
          <w:szCs w:val="24"/>
        </w:rPr>
        <w:t xml:space="preserve"> paslaugų įsigijimui. </w:t>
      </w:r>
    </w:p>
    <w:p w14:paraId="2E82EDB5" w14:textId="448E619B" w:rsidR="004865BC" w:rsidRPr="008750D7" w:rsidRDefault="004865BC" w:rsidP="004865BC">
      <w:pPr>
        <w:pStyle w:val="Sraopastraipa"/>
        <w:numPr>
          <w:ilvl w:val="0"/>
          <w:numId w:val="7"/>
        </w:numPr>
        <w:spacing w:after="0" w:line="240" w:lineRule="auto"/>
        <w:ind w:left="0" w:firstLine="851"/>
        <w:jc w:val="both"/>
        <w:rPr>
          <w:rFonts w:ascii="Arial" w:hAnsi="Arial" w:cs="Arial"/>
          <w:sz w:val="24"/>
          <w:szCs w:val="24"/>
        </w:rPr>
      </w:pPr>
      <w:r w:rsidRPr="004865BC">
        <w:rPr>
          <w:rFonts w:ascii="Arial" w:hAnsi="Arial" w:cs="Arial"/>
          <w:sz w:val="24"/>
          <w:szCs w:val="24"/>
        </w:rPr>
        <w:t>Biudžetinių įstaigų pajamų ir specialiųjų programų pajamos.</w:t>
      </w:r>
      <w:r>
        <w:rPr>
          <w:rFonts w:ascii="Arial" w:hAnsi="Arial" w:cs="Arial"/>
          <w:sz w:val="24"/>
          <w:szCs w:val="24"/>
        </w:rPr>
        <w:t xml:space="preserve"> </w:t>
      </w:r>
      <w:r w:rsidRPr="004865BC">
        <w:rPr>
          <w:rFonts w:ascii="Arial" w:hAnsi="Arial" w:cs="Arial"/>
          <w:sz w:val="24"/>
          <w:szCs w:val="24"/>
        </w:rPr>
        <w:t xml:space="preserve">2026 metų </w:t>
      </w:r>
      <w:r w:rsidRPr="005F6BB7">
        <w:rPr>
          <w:rFonts w:ascii="Arial" w:hAnsi="Arial" w:cs="Arial"/>
          <w:sz w:val="24"/>
          <w:szCs w:val="24"/>
        </w:rPr>
        <w:t>I ketvirčiui</w:t>
      </w:r>
      <w:r w:rsidRPr="004865BC">
        <w:rPr>
          <w:rFonts w:ascii="Arial" w:hAnsi="Arial" w:cs="Arial"/>
          <w:color w:val="FF0000"/>
          <w:sz w:val="24"/>
          <w:szCs w:val="24"/>
        </w:rPr>
        <w:t xml:space="preserve"> </w:t>
      </w:r>
      <w:r w:rsidRPr="004865BC">
        <w:rPr>
          <w:rFonts w:ascii="Arial" w:hAnsi="Arial" w:cs="Arial"/>
          <w:sz w:val="24"/>
          <w:szCs w:val="24"/>
        </w:rPr>
        <w:t xml:space="preserve">patvirtintas asignavimų planas, įskaitant patikslinimus – </w:t>
      </w:r>
      <w:r w:rsidR="005F6BB7" w:rsidRPr="005F6BB7">
        <w:rPr>
          <w:rFonts w:ascii="Arial" w:hAnsi="Arial" w:cs="Arial"/>
          <w:sz w:val="24"/>
          <w:szCs w:val="24"/>
        </w:rPr>
        <w:t>28700</w:t>
      </w:r>
      <w:r w:rsidR="005F6BB7">
        <w:rPr>
          <w:rFonts w:ascii="Arial" w:hAnsi="Arial" w:cs="Arial"/>
          <w:sz w:val="24"/>
          <w:szCs w:val="24"/>
        </w:rPr>
        <w:t>,00</w:t>
      </w:r>
      <w:r w:rsidR="004B2DCD">
        <w:rPr>
          <w:rFonts w:ascii="Arial" w:hAnsi="Arial" w:cs="Arial"/>
          <w:sz w:val="24"/>
          <w:szCs w:val="24"/>
        </w:rPr>
        <w:t xml:space="preserve"> Eur</w:t>
      </w:r>
      <w:r w:rsidRPr="004865BC">
        <w:rPr>
          <w:rFonts w:ascii="Arial" w:hAnsi="Arial" w:cs="Arial"/>
          <w:sz w:val="24"/>
          <w:szCs w:val="24"/>
        </w:rPr>
        <w:t xml:space="preserve">. Per 2026 metų </w:t>
      </w:r>
      <w:r w:rsidRPr="005F6BB7">
        <w:rPr>
          <w:rFonts w:ascii="Arial" w:hAnsi="Arial" w:cs="Arial"/>
          <w:sz w:val="24"/>
          <w:szCs w:val="24"/>
        </w:rPr>
        <w:t xml:space="preserve">I ketvirtį </w:t>
      </w:r>
      <w:r w:rsidRPr="004865BC">
        <w:rPr>
          <w:rFonts w:ascii="Arial" w:hAnsi="Arial" w:cs="Arial"/>
          <w:sz w:val="24"/>
          <w:szCs w:val="24"/>
        </w:rPr>
        <w:t xml:space="preserve">gauti asignavimai sudaro </w:t>
      </w:r>
      <w:bookmarkStart w:id="4" w:name="_Hlk227067997"/>
      <w:r w:rsidR="005F6BB7" w:rsidRPr="005F6BB7">
        <w:rPr>
          <w:rFonts w:ascii="Arial" w:hAnsi="Arial" w:cs="Arial"/>
          <w:sz w:val="24"/>
          <w:szCs w:val="24"/>
        </w:rPr>
        <w:t>23134,18</w:t>
      </w:r>
      <w:r w:rsidRPr="005F6BB7">
        <w:rPr>
          <w:rFonts w:ascii="Arial" w:hAnsi="Arial" w:cs="Arial"/>
          <w:sz w:val="24"/>
          <w:szCs w:val="24"/>
        </w:rPr>
        <w:t xml:space="preserve"> </w:t>
      </w:r>
      <w:bookmarkEnd w:id="4"/>
      <w:r w:rsidR="004B2DCD">
        <w:rPr>
          <w:rFonts w:ascii="Arial" w:hAnsi="Arial" w:cs="Arial"/>
          <w:sz w:val="24"/>
          <w:szCs w:val="24"/>
        </w:rPr>
        <w:t>Eur</w:t>
      </w:r>
      <w:r w:rsidRPr="004865BC">
        <w:rPr>
          <w:rFonts w:ascii="Arial" w:hAnsi="Arial" w:cs="Arial"/>
          <w:sz w:val="24"/>
          <w:szCs w:val="24"/>
        </w:rPr>
        <w:t xml:space="preserve">, panaudota </w:t>
      </w:r>
      <w:r w:rsidR="009C78E3" w:rsidRPr="005F6BB7">
        <w:rPr>
          <w:rFonts w:ascii="Arial" w:hAnsi="Arial" w:cs="Arial"/>
          <w:sz w:val="24"/>
          <w:szCs w:val="24"/>
        </w:rPr>
        <w:t xml:space="preserve">23134,18 </w:t>
      </w:r>
      <w:r w:rsidR="004B2DCD">
        <w:rPr>
          <w:rFonts w:ascii="Arial" w:hAnsi="Arial" w:cs="Arial"/>
          <w:sz w:val="24"/>
          <w:szCs w:val="24"/>
        </w:rPr>
        <w:t>Eur</w:t>
      </w:r>
      <w:r w:rsidRPr="004865BC">
        <w:rPr>
          <w:rFonts w:ascii="Arial" w:hAnsi="Arial" w:cs="Arial"/>
          <w:sz w:val="24"/>
          <w:szCs w:val="24"/>
        </w:rPr>
        <w:t xml:space="preserve">. 2026 metų </w:t>
      </w:r>
      <w:r w:rsidRPr="008750D7">
        <w:rPr>
          <w:rFonts w:ascii="Arial" w:hAnsi="Arial" w:cs="Arial"/>
          <w:sz w:val="24"/>
          <w:szCs w:val="24"/>
        </w:rPr>
        <w:t xml:space="preserve">I ketvirčio </w:t>
      </w:r>
      <w:r w:rsidRPr="004865BC">
        <w:rPr>
          <w:rFonts w:ascii="Arial" w:hAnsi="Arial" w:cs="Arial"/>
          <w:sz w:val="24"/>
          <w:szCs w:val="24"/>
        </w:rPr>
        <w:t xml:space="preserve">įstaigos asignavimų plano vykdymas sudaro </w:t>
      </w:r>
      <w:r w:rsidR="008750D7" w:rsidRPr="008750D7">
        <w:rPr>
          <w:rFonts w:ascii="Arial" w:hAnsi="Arial" w:cs="Arial"/>
          <w:sz w:val="24"/>
          <w:szCs w:val="24"/>
        </w:rPr>
        <w:t>80,6</w:t>
      </w:r>
      <w:r w:rsidRPr="008750D7">
        <w:rPr>
          <w:rFonts w:ascii="Arial" w:hAnsi="Arial" w:cs="Arial"/>
          <w:sz w:val="24"/>
          <w:szCs w:val="24"/>
        </w:rPr>
        <w:t xml:space="preserve"> </w:t>
      </w:r>
      <w:r w:rsidRPr="004865BC">
        <w:rPr>
          <w:rFonts w:ascii="Arial" w:hAnsi="Arial" w:cs="Arial"/>
          <w:sz w:val="24"/>
          <w:szCs w:val="24"/>
        </w:rPr>
        <w:t xml:space="preserve">proc. planuotų biudžeto asignavimų. Per ataskaitinį laikotarpį liko nepanaudota </w:t>
      </w:r>
      <w:r w:rsidR="008750D7" w:rsidRPr="008750D7">
        <w:rPr>
          <w:rFonts w:ascii="Arial" w:hAnsi="Arial" w:cs="Arial"/>
          <w:sz w:val="24"/>
          <w:szCs w:val="24"/>
        </w:rPr>
        <w:t>5565,82</w:t>
      </w:r>
      <w:r w:rsidRPr="008750D7">
        <w:rPr>
          <w:rFonts w:ascii="Arial" w:hAnsi="Arial" w:cs="Arial"/>
          <w:sz w:val="24"/>
          <w:szCs w:val="24"/>
        </w:rPr>
        <w:t xml:space="preserve"> </w:t>
      </w:r>
      <w:r w:rsidR="004B2DCD">
        <w:rPr>
          <w:rFonts w:ascii="Arial" w:hAnsi="Arial" w:cs="Arial"/>
          <w:sz w:val="24"/>
          <w:szCs w:val="24"/>
        </w:rPr>
        <w:t>Eur</w:t>
      </w:r>
      <w:r w:rsidRPr="004865BC">
        <w:rPr>
          <w:rFonts w:ascii="Arial" w:hAnsi="Arial" w:cs="Arial"/>
          <w:sz w:val="24"/>
          <w:szCs w:val="24"/>
        </w:rPr>
        <w:t xml:space="preserve"> </w:t>
      </w:r>
      <w:r w:rsidRPr="008750D7">
        <w:rPr>
          <w:rFonts w:ascii="Arial" w:hAnsi="Arial" w:cs="Arial"/>
          <w:sz w:val="24"/>
          <w:szCs w:val="24"/>
        </w:rPr>
        <w:t>planuotų asignavimų darbo užmokesčiui, prekių</w:t>
      </w:r>
      <w:r w:rsidR="008750D7" w:rsidRPr="008750D7">
        <w:rPr>
          <w:rFonts w:ascii="Arial" w:hAnsi="Arial" w:cs="Arial"/>
          <w:sz w:val="24"/>
          <w:szCs w:val="24"/>
        </w:rPr>
        <w:t xml:space="preserve"> ir</w:t>
      </w:r>
      <w:r w:rsidRPr="008750D7">
        <w:rPr>
          <w:rFonts w:ascii="Arial" w:hAnsi="Arial" w:cs="Arial"/>
          <w:sz w:val="24"/>
          <w:szCs w:val="24"/>
        </w:rPr>
        <w:t xml:space="preserve"> paslaugų įsigijimui. </w:t>
      </w:r>
    </w:p>
    <w:p w14:paraId="159F76A4" w14:textId="6FE5F7B1" w:rsidR="004865BC" w:rsidRPr="004865BC" w:rsidRDefault="004865BC" w:rsidP="00F614DF">
      <w:pPr>
        <w:pStyle w:val="Sraopastraipa"/>
        <w:spacing w:after="0" w:line="240" w:lineRule="auto"/>
        <w:ind w:left="851"/>
        <w:jc w:val="both"/>
        <w:rPr>
          <w:rFonts w:ascii="Arial" w:hAnsi="Arial" w:cs="Arial"/>
          <w:sz w:val="24"/>
          <w:szCs w:val="24"/>
        </w:rPr>
      </w:pPr>
    </w:p>
    <w:bookmarkEnd w:id="3"/>
    <w:p w14:paraId="4E0CB556" w14:textId="589581FA" w:rsidR="006E4A0B" w:rsidRPr="00DA39E1" w:rsidRDefault="006E4A0B" w:rsidP="0034107F">
      <w:pPr>
        <w:spacing w:after="0" w:line="240" w:lineRule="auto"/>
        <w:ind w:firstLine="709"/>
        <w:jc w:val="both"/>
        <w:rPr>
          <w:rFonts w:ascii="Arial" w:hAnsi="Arial" w:cs="Arial"/>
          <w:sz w:val="24"/>
          <w:szCs w:val="24"/>
        </w:rPr>
      </w:pPr>
    </w:p>
    <w:p w14:paraId="3776FC5E" w14:textId="77777777" w:rsidR="00D26ECE" w:rsidRPr="00DA39E1" w:rsidRDefault="00D26ECE" w:rsidP="00D26ECE">
      <w:pPr>
        <w:spacing w:after="0" w:line="240" w:lineRule="auto"/>
        <w:jc w:val="center"/>
        <w:rPr>
          <w:rFonts w:ascii="Arial" w:hAnsi="Arial" w:cs="Arial"/>
          <w:b/>
          <w:bCs/>
          <w:sz w:val="24"/>
          <w:szCs w:val="24"/>
        </w:rPr>
      </w:pPr>
      <w:r w:rsidRPr="00DA39E1">
        <w:rPr>
          <w:rFonts w:ascii="Arial" w:hAnsi="Arial" w:cs="Arial"/>
          <w:b/>
          <w:bCs/>
          <w:sz w:val="24"/>
          <w:szCs w:val="24"/>
        </w:rPr>
        <w:t>V SKYRIUS</w:t>
      </w:r>
    </w:p>
    <w:p w14:paraId="1F046D46" w14:textId="09444688" w:rsidR="006C472C" w:rsidRDefault="00D26ECE" w:rsidP="00DE658B">
      <w:pPr>
        <w:spacing w:after="0" w:line="240" w:lineRule="auto"/>
        <w:jc w:val="center"/>
        <w:rPr>
          <w:rFonts w:ascii="Arial" w:hAnsi="Arial" w:cs="Arial"/>
          <w:b/>
          <w:bCs/>
          <w:sz w:val="24"/>
          <w:szCs w:val="24"/>
        </w:rPr>
      </w:pPr>
      <w:r w:rsidRPr="00DA39E1">
        <w:rPr>
          <w:rFonts w:ascii="Arial" w:hAnsi="Arial" w:cs="Arial"/>
          <w:b/>
          <w:bCs/>
          <w:sz w:val="24"/>
          <w:szCs w:val="24"/>
        </w:rPr>
        <w:t>KITA INFORMACIJA</w:t>
      </w:r>
    </w:p>
    <w:p w14:paraId="1B528189" w14:textId="77777777" w:rsidR="00DE658B" w:rsidRPr="00DE658B" w:rsidRDefault="00DE658B" w:rsidP="00DE658B">
      <w:pPr>
        <w:spacing w:after="0" w:line="240" w:lineRule="auto"/>
        <w:jc w:val="center"/>
        <w:rPr>
          <w:rFonts w:ascii="Arial" w:hAnsi="Arial" w:cs="Arial"/>
          <w:b/>
          <w:bCs/>
          <w:sz w:val="24"/>
          <w:szCs w:val="24"/>
        </w:rPr>
      </w:pPr>
    </w:p>
    <w:p w14:paraId="76B31EB8" w14:textId="02CEE757" w:rsidR="00A52941" w:rsidRDefault="00A52941"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shd w:val="clear" w:color="auto" w:fill="FFFFFF"/>
        </w:rPr>
        <w:t>Įstaiga ataskaitinio laikotarpio pabaigoje mokėtinų sumų, kurių mokėjimo terminas yra suėjęs, neturi.</w:t>
      </w:r>
    </w:p>
    <w:p w14:paraId="64BD8602" w14:textId="4B116DEE" w:rsidR="00DE658B" w:rsidRDefault="00DE658B"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rPr>
        <w:lastRenderedPageBreak/>
        <w:t>Praėjusiais metais nepanaudoto lėšų likučio, kuris ataskaitiniais metais būtų įskaitytas į nuo metų pradžios gautus asignavimus, nėra.</w:t>
      </w:r>
    </w:p>
    <w:p w14:paraId="55CAE8F2" w14:textId="06A91890" w:rsidR="00DE658B" w:rsidRDefault="00DE658B" w:rsidP="00DE658B">
      <w:pPr>
        <w:pStyle w:val="v1msonormal"/>
        <w:shd w:val="clear" w:color="auto" w:fill="FFFFFF"/>
        <w:spacing w:before="0" w:beforeAutospacing="0" w:after="0" w:afterAutospacing="0"/>
        <w:ind w:firstLine="709"/>
        <w:jc w:val="both"/>
        <w:rPr>
          <w:rFonts w:ascii="Arial" w:hAnsi="Arial" w:cs="Arial"/>
          <w:color w:val="333333"/>
        </w:rPr>
      </w:pPr>
      <w:r>
        <w:rPr>
          <w:rFonts w:ascii="Arial" w:hAnsi="Arial" w:cs="Arial"/>
          <w:color w:val="333333"/>
        </w:rPr>
        <w:t>Įgyvendinant iš Europos Sąjungos fondų ir (arba) kitos tarptautinės finansinės paramos bendrai finansuojamus projektus, išlaidų, kurios buvo apmokėtos iš valstybės ar savivaldybės biudžeto lėšų dėl neplanuotų netinkamų finansuoti išlaidų – nebuvo.</w:t>
      </w:r>
    </w:p>
    <w:p w14:paraId="64576D2B" w14:textId="77777777" w:rsidR="00DE658B" w:rsidRDefault="00DE658B" w:rsidP="00DE658B">
      <w:pPr>
        <w:pStyle w:val="v1msonormal"/>
        <w:shd w:val="clear" w:color="auto" w:fill="FFFFFF"/>
        <w:spacing w:before="0" w:beforeAutospacing="0" w:after="0" w:afterAutospacing="0"/>
        <w:jc w:val="both"/>
        <w:rPr>
          <w:rFonts w:ascii="Arial" w:hAnsi="Arial" w:cs="Arial"/>
          <w:color w:val="333333"/>
        </w:rPr>
      </w:pPr>
      <w:r>
        <w:rPr>
          <w:rFonts w:ascii="Arial" w:hAnsi="Arial" w:cs="Arial"/>
          <w:color w:val="333333"/>
        </w:rPr>
        <w:t>Reikšmingų įvykių po paskutinės ataskaitinio laikotarpio dienos nebuvo, kitos reikšmingos nepaminėtos informacijos nėra.</w:t>
      </w:r>
    </w:p>
    <w:p w14:paraId="4D9D3C0A" w14:textId="77777777" w:rsidR="009143E2" w:rsidRDefault="009143E2" w:rsidP="00DE658B">
      <w:pPr>
        <w:pStyle w:val="v1msonormal"/>
        <w:shd w:val="clear" w:color="auto" w:fill="FFFFFF"/>
        <w:spacing w:before="0" w:beforeAutospacing="0" w:after="0" w:afterAutospacing="0"/>
        <w:jc w:val="both"/>
        <w:rPr>
          <w:rFonts w:ascii="Arial" w:hAnsi="Arial" w:cs="Arial"/>
          <w:color w:val="333333"/>
        </w:rPr>
      </w:pPr>
    </w:p>
    <w:p w14:paraId="046EDC03" w14:textId="24A78B1F" w:rsidR="006C472C" w:rsidRDefault="00DE658B" w:rsidP="009143E2">
      <w:pPr>
        <w:pStyle w:val="v1msonormal"/>
        <w:shd w:val="clear" w:color="auto" w:fill="FFFFFF"/>
        <w:spacing w:before="0" w:beforeAutospacing="0" w:after="0" w:afterAutospacing="0"/>
        <w:jc w:val="both"/>
        <w:rPr>
          <w:rFonts w:ascii="Arial" w:hAnsi="Arial" w:cs="Arial"/>
        </w:rPr>
      </w:pPr>
      <w:r>
        <w:rPr>
          <w:rFonts w:ascii="Arial" w:hAnsi="Arial" w:cs="Arial"/>
          <w:color w:val="333333"/>
        </w:rPr>
        <w:t> </w:t>
      </w:r>
      <w:r w:rsidR="009143E2">
        <w:rPr>
          <w:rFonts w:ascii="Arial" w:hAnsi="Arial" w:cs="Arial"/>
          <w:color w:val="333333"/>
        </w:rPr>
        <w:tab/>
      </w:r>
      <w:r w:rsidR="009143E2">
        <w:rPr>
          <w:rFonts w:ascii="Arial" w:hAnsi="Arial" w:cs="Arial"/>
        </w:rPr>
        <w:t>B</w:t>
      </w:r>
      <w:r w:rsidR="006C472C" w:rsidRPr="00DA39E1">
        <w:rPr>
          <w:rFonts w:ascii="Arial" w:hAnsi="Arial" w:cs="Arial"/>
        </w:rPr>
        <w:t xml:space="preserve">iudžetinių lėšų </w:t>
      </w:r>
      <w:r w:rsidR="00736526" w:rsidRPr="00DA39E1">
        <w:rPr>
          <w:rFonts w:ascii="Arial" w:hAnsi="Arial" w:cs="Arial"/>
        </w:rPr>
        <w:t xml:space="preserve">likutis </w:t>
      </w:r>
      <w:r w:rsidR="006C472C" w:rsidRPr="00DA39E1">
        <w:rPr>
          <w:rFonts w:ascii="Arial" w:hAnsi="Arial" w:cs="Arial"/>
        </w:rPr>
        <w:t>sąskaitose</w:t>
      </w:r>
      <w:r w:rsidR="006C472C" w:rsidRPr="00DA39E1">
        <w:rPr>
          <w:rFonts w:ascii="Arial" w:hAnsi="Arial" w:cs="Arial"/>
          <w:color w:val="FF0000"/>
        </w:rPr>
        <w:t xml:space="preserve"> </w:t>
      </w:r>
      <w:r w:rsidR="006C472C" w:rsidRPr="00DA39E1">
        <w:rPr>
          <w:rFonts w:ascii="Arial" w:hAnsi="Arial" w:cs="Arial"/>
        </w:rPr>
        <w:t>ataskaitinio laikotarpio pradžioje 202</w:t>
      </w:r>
      <w:r w:rsidR="00736526" w:rsidRPr="00DA39E1">
        <w:rPr>
          <w:rFonts w:ascii="Arial" w:hAnsi="Arial" w:cs="Arial"/>
        </w:rPr>
        <w:t>6</w:t>
      </w:r>
      <w:r w:rsidR="006C472C" w:rsidRPr="00DA39E1">
        <w:rPr>
          <w:rFonts w:ascii="Arial" w:hAnsi="Arial" w:cs="Arial"/>
        </w:rPr>
        <w:t xml:space="preserve"> m. sausio 1 d. – </w:t>
      </w:r>
      <w:r w:rsidR="006C472C" w:rsidRPr="00711CE6">
        <w:rPr>
          <w:rFonts w:ascii="Arial" w:hAnsi="Arial" w:cs="Arial"/>
        </w:rPr>
        <w:t>0,00</w:t>
      </w:r>
      <w:r w:rsidR="00736526" w:rsidRPr="00711CE6">
        <w:rPr>
          <w:rFonts w:ascii="Arial" w:hAnsi="Arial" w:cs="Arial"/>
          <w:i/>
          <w:iCs/>
        </w:rPr>
        <w:t xml:space="preserve"> </w:t>
      </w:r>
      <w:r w:rsidR="006C472C" w:rsidRPr="00711CE6">
        <w:rPr>
          <w:rFonts w:ascii="Arial" w:hAnsi="Arial" w:cs="Arial"/>
        </w:rPr>
        <w:t xml:space="preserve"> </w:t>
      </w:r>
      <w:r w:rsidR="00296EAB" w:rsidRPr="00DA39E1">
        <w:rPr>
          <w:rFonts w:ascii="Arial" w:hAnsi="Arial" w:cs="Arial"/>
        </w:rPr>
        <w:t>Eur</w:t>
      </w:r>
      <w:r w:rsidR="006C472C" w:rsidRPr="00DA39E1">
        <w:rPr>
          <w:rFonts w:ascii="Arial" w:hAnsi="Arial" w:cs="Arial"/>
        </w:rPr>
        <w:t xml:space="preserve">, ataskaitinio laikotarpio pabaigoje– </w:t>
      </w:r>
      <w:r w:rsidR="006C472C" w:rsidRPr="00711CE6">
        <w:rPr>
          <w:rFonts w:ascii="Arial" w:hAnsi="Arial" w:cs="Arial"/>
        </w:rPr>
        <w:t xml:space="preserve">0,00 </w:t>
      </w:r>
      <w:r w:rsidR="00296EAB" w:rsidRPr="00DA39E1">
        <w:rPr>
          <w:rFonts w:ascii="Arial" w:hAnsi="Arial" w:cs="Arial"/>
        </w:rPr>
        <w:t>Eur</w:t>
      </w:r>
      <w:r w:rsidR="00711CE6">
        <w:rPr>
          <w:rFonts w:ascii="Arial" w:hAnsi="Arial" w:cs="Arial"/>
        </w:rPr>
        <w:t>.</w:t>
      </w:r>
      <w:r w:rsidR="006C472C" w:rsidRPr="00DA39E1">
        <w:rPr>
          <w:rFonts w:ascii="Arial" w:hAnsi="Arial" w:cs="Arial"/>
        </w:rPr>
        <w:t xml:space="preserve"> </w:t>
      </w:r>
    </w:p>
    <w:p w14:paraId="35B3712A" w14:textId="77777777" w:rsidR="00711CE6" w:rsidRPr="009143E2" w:rsidRDefault="00711CE6" w:rsidP="009143E2">
      <w:pPr>
        <w:pStyle w:val="v1msonormal"/>
        <w:shd w:val="clear" w:color="auto" w:fill="FFFFFF"/>
        <w:spacing w:before="0" w:beforeAutospacing="0" w:after="0" w:afterAutospacing="0"/>
        <w:jc w:val="both"/>
        <w:rPr>
          <w:rFonts w:ascii="Arial" w:hAnsi="Arial" w:cs="Arial"/>
          <w:color w:val="333333"/>
        </w:rPr>
      </w:pPr>
    </w:p>
    <w:p w14:paraId="042D7541" w14:textId="77777777" w:rsidR="00282AD1" w:rsidRPr="00282AD1" w:rsidRDefault="00282AD1" w:rsidP="00282AD1">
      <w:pPr>
        <w:ind w:firstLine="851"/>
        <w:jc w:val="both"/>
        <w:rPr>
          <w:rFonts w:ascii="Arial" w:hAnsi="Arial" w:cs="Arial"/>
          <w:sz w:val="24"/>
          <w:szCs w:val="24"/>
        </w:rPr>
      </w:pPr>
      <w:r w:rsidRPr="00282AD1">
        <w:rPr>
          <w:rFonts w:ascii="Arial" w:hAnsi="Arial" w:cs="Arial"/>
          <w:sz w:val="24"/>
          <w:szCs w:val="24"/>
        </w:rPr>
        <w:t xml:space="preserve">PRIEDAI:  </w:t>
      </w:r>
    </w:p>
    <w:p w14:paraId="43EEE2A8" w14:textId="64D37A22" w:rsidR="0030402A" w:rsidRPr="0030402A" w:rsidRDefault="0030402A" w:rsidP="0030402A">
      <w:pPr>
        <w:pStyle w:val="Sraopastraipa"/>
        <w:numPr>
          <w:ilvl w:val="0"/>
          <w:numId w:val="5"/>
        </w:numPr>
        <w:tabs>
          <w:tab w:val="left" w:pos="0"/>
          <w:tab w:val="left" w:pos="540"/>
          <w:tab w:val="left" w:pos="851"/>
        </w:tabs>
        <w:jc w:val="both"/>
        <w:rPr>
          <w:rFonts w:ascii="Arial" w:hAnsi="Arial" w:cs="Arial"/>
          <w:sz w:val="24"/>
          <w:szCs w:val="24"/>
          <w:lang w:eastAsia="lt-LT"/>
        </w:rPr>
      </w:pPr>
      <w:r w:rsidRPr="0030402A">
        <w:rPr>
          <w:rFonts w:ascii="Arial" w:hAnsi="Arial" w:cs="Arial"/>
          <w:sz w:val="24"/>
          <w:szCs w:val="24"/>
          <w:lang w:eastAsia="lt-LT"/>
        </w:rPr>
        <w:t>I ketvirčio</w:t>
      </w:r>
      <w:r>
        <w:rPr>
          <w:rFonts w:ascii="Arial" w:hAnsi="Arial" w:cs="Arial"/>
          <w:sz w:val="24"/>
          <w:szCs w:val="24"/>
          <w:lang w:eastAsia="lt-LT"/>
        </w:rPr>
        <w:t xml:space="preserve"> </w:t>
      </w:r>
      <w:r w:rsidRPr="0030402A">
        <w:rPr>
          <w:rFonts w:ascii="Arial" w:hAnsi="Arial" w:cs="Arial"/>
          <w:sz w:val="24"/>
          <w:szCs w:val="24"/>
          <w:lang w:eastAsia="lt-LT"/>
        </w:rPr>
        <w:t>informacija apie biudžetinių įstaigų pajamas pagal 20</w:t>
      </w:r>
      <w:r w:rsidR="000B4D34">
        <w:rPr>
          <w:rFonts w:ascii="Arial" w:hAnsi="Arial" w:cs="Arial"/>
          <w:sz w:val="24"/>
          <w:szCs w:val="24"/>
          <w:lang w:eastAsia="lt-LT"/>
        </w:rPr>
        <w:t>26</w:t>
      </w:r>
      <w:r w:rsidRPr="0030402A">
        <w:rPr>
          <w:rFonts w:ascii="Arial" w:hAnsi="Arial" w:cs="Arial"/>
          <w:sz w:val="24"/>
          <w:szCs w:val="24"/>
          <w:lang w:eastAsia="lt-LT"/>
        </w:rPr>
        <w:t> m. </w:t>
      </w:r>
      <w:r w:rsidR="000B4D34">
        <w:rPr>
          <w:rFonts w:ascii="Arial" w:hAnsi="Arial" w:cs="Arial"/>
          <w:sz w:val="24"/>
          <w:szCs w:val="24"/>
          <w:lang w:eastAsia="lt-LT"/>
        </w:rPr>
        <w:t>kovo 31</w:t>
      </w:r>
      <w:r w:rsidRPr="0030402A">
        <w:rPr>
          <w:rFonts w:ascii="Arial" w:hAnsi="Arial" w:cs="Arial"/>
          <w:sz w:val="24"/>
          <w:szCs w:val="24"/>
          <w:lang w:eastAsia="lt-LT"/>
        </w:rPr>
        <w:t> d. duomenis pagal Biudžeto vykdymo ataskaitų rinkinių rengimo taisyklių 3 priede nustatytą formą.</w:t>
      </w:r>
    </w:p>
    <w:p w14:paraId="6E5FFBC7" w14:textId="6C724815" w:rsidR="0030402A" w:rsidRPr="0030402A" w:rsidRDefault="0030402A" w:rsidP="0030402A">
      <w:pPr>
        <w:pStyle w:val="Sraopastraipa"/>
        <w:numPr>
          <w:ilvl w:val="0"/>
          <w:numId w:val="5"/>
        </w:numPr>
        <w:tabs>
          <w:tab w:val="left" w:pos="0"/>
          <w:tab w:val="left" w:pos="540"/>
          <w:tab w:val="left" w:pos="851"/>
        </w:tabs>
        <w:jc w:val="both"/>
        <w:rPr>
          <w:rFonts w:ascii="Arial" w:hAnsi="Arial" w:cs="Arial"/>
          <w:sz w:val="24"/>
          <w:szCs w:val="24"/>
          <w:lang w:eastAsia="lt-LT"/>
        </w:rPr>
      </w:pPr>
      <w:r w:rsidRPr="0030402A">
        <w:rPr>
          <w:rFonts w:ascii="Arial" w:hAnsi="Arial" w:cs="Arial"/>
          <w:sz w:val="24"/>
          <w:szCs w:val="24"/>
          <w:lang w:eastAsia="lt-LT"/>
        </w:rPr>
        <w:t>I ketvirčio informacija pagal programas, uždavinius ir priemones pagal 20</w:t>
      </w:r>
      <w:r w:rsidR="000B4D34">
        <w:rPr>
          <w:rFonts w:ascii="Arial" w:hAnsi="Arial" w:cs="Arial"/>
          <w:sz w:val="24"/>
          <w:szCs w:val="24"/>
          <w:lang w:eastAsia="lt-LT"/>
        </w:rPr>
        <w:t>26</w:t>
      </w:r>
      <w:r w:rsidRPr="0030402A">
        <w:rPr>
          <w:rFonts w:ascii="Arial" w:hAnsi="Arial" w:cs="Arial"/>
          <w:sz w:val="24"/>
          <w:szCs w:val="24"/>
          <w:lang w:eastAsia="lt-LT"/>
        </w:rPr>
        <w:t xml:space="preserve"> m. </w:t>
      </w:r>
      <w:r w:rsidR="000B4D34">
        <w:rPr>
          <w:rFonts w:ascii="Arial" w:hAnsi="Arial" w:cs="Arial"/>
          <w:sz w:val="24"/>
          <w:szCs w:val="24"/>
          <w:lang w:eastAsia="lt-LT"/>
        </w:rPr>
        <w:t>kovo 31</w:t>
      </w:r>
      <w:r w:rsidRPr="0030402A">
        <w:rPr>
          <w:rFonts w:ascii="Arial" w:hAnsi="Arial" w:cs="Arial"/>
          <w:sz w:val="24"/>
          <w:szCs w:val="24"/>
          <w:lang w:eastAsia="lt-LT"/>
        </w:rPr>
        <w:t xml:space="preserve"> d. duomenis pagal Biudžeto vykdymo ataskaitų rinkinių rengimo taisyklių 5 priede nustatytą formą.</w:t>
      </w:r>
    </w:p>
    <w:p w14:paraId="7ECA6926" w14:textId="3630D762" w:rsidR="00680531" w:rsidRPr="00DA39E1" w:rsidRDefault="00680531" w:rsidP="00DC61C5">
      <w:pPr>
        <w:spacing w:after="0" w:line="240" w:lineRule="auto"/>
        <w:ind w:firstLine="680"/>
        <w:jc w:val="both"/>
        <w:rPr>
          <w:rFonts w:ascii="Arial" w:hAnsi="Arial" w:cs="Arial"/>
          <w:sz w:val="24"/>
          <w:szCs w:val="24"/>
        </w:rPr>
      </w:pPr>
    </w:p>
    <w:p w14:paraId="0AC398C1" w14:textId="2EDF5050" w:rsidR="00680531" w:rsidRPr="00DA39E1" w:rsidRDefault="00680531" w:rsidP="00DC61C5">
      <w:pPr>
        <w:spacing w:after="0" w:line="240" w:lineRule="auto"/>
        <w:ind w:firstLine="680"/>
        <w:jc w:val="both"/>
        <w:rPr>
          <w:rFonts w:ascii="Arial" w:hAnsi="Arial" w:cs="Arial"/>
          <w:sz w:val="24"/>
          <w:szCs w:val="24"/>
        </w:rPr>
      </w:pPr>
      <w:r w:rsidRPr="00DA39E1">
        <w:rPr>
          <w:rFonts w:ascii="Arial" w:hAnsi="Arial" w:cs="Arial"/>
          <w:sz w:val="24"/>
          <w:szCs w:val="24"/>
        </w:rPr>
        <w:t>Direktorius</w:t>
      </w:r>
      <w:r w:rsidR="002D1E69">
        <w:rPr>
          <w:rFonts w:ascii="Arial" w:hAnsi="Arial" w:cs="Arial"/>
          <w:sz w:val="24"/>
          <w:szCs w:val="24"/>
        </w:rPr>
        <w:tab/>
      </w:r>
      <w:r w:rsidR="002D1E69">
        <w:rPr>
          <w:rFonts w:ascii="Arial" w:hAnsi="Arial" w:cs="Arial"/>
          <w:sz w:val="24"/>
          <w:szCs w:val="24"/>
        </w:rPr>
        <w:tab/>
      </w:r>
      <w:r w:rsidR="002D1E69">
        <w:rPr>
          <w:rFonts w:ascii="Arial" w:hAnsi="Arial" w:cs="Arial"/>
          <w:sz w:val="24"/>
          <w:szCs w:val="24"/>
        </w:rPr>
        <w:tab/>
      </w:r>
      <w:r w:rsidR="002D1E69">
        <w:rPr>
          <w:rFonts w:ascii="Arial" w:hAnsi="Arial" w:cs="Arial"/>
          <w:sz w:val="24"/>
          <w:szCs w:val="24"/>
        </w:rPr>
        <w:tab/>
        <w:t>Raimunda Mockuvienė</w:t>
      </w:r>
    </w:p>
    <w:p w14:paraId="6F0C025E" w14:textId="0B0FC6E8" w:rsidR="00D42ABB" w:rsidRPr="00DA39E1" w:rsidRDefault="00D42ABB" w:rsidP="00DC61C5">
      <w:pPr>
        <w:spacing w:after="0" w:line="240" w:lineRule="auto"/>
        <w:ind w:firstLine="680"/>
        <w:jc w:val="both"/>
        <w:rPr>
          <w:rFonts w:ascii="Arial" w:hAnsi="Arial" w:cs="Arial"/>
          <w:sz w:val="24"/>
          <w:szCs w:val="24"/>
        </w:rPr>
      </w:pPr>
    </w:p>
    <w:p w14:paraId="774E5E09" w14:textId="77777777" w:rsidR="00F13E77" w:rsidRPr="00DA39E1" w:rsidRDefault="00F13E77" w:rsidP="00DC61C5">
      <w:pPr>
        <w:spacing w:after="0" w:line="240" w:lineRule="auto"/>
        <w:ind w:firstLine="680"/>
        <w:jc w:val="both"/>
        <w:rPr>
          <w:rFonts w:ascii="Arial" w:hAnsi="Arial" w:cs="Arial"/>
          <w:sz w:val="24"/>
          <w:szCs w:val="24"/>
        </w:rPr>
      </w:pPr>
    </w:p>
    <w:p w14:paraId="47D2C6FD" w14:textId="3DD3077D" w:rsidR="00680531" w:rsidRPr="00DA39E1" w:rsidRDefault="00680531" w:rsidP="00DC61C5">
      <w:pPr>
        <w:widowControl w:val="0"/>
        <w:spacing w:after="0" w:line="240" w:lineRule="auto"/>
        <w:ind w:firstLine="680"/>
        <w:jc w:val="both"/>
        <w:rPr>
          <w:rFonts w:ascii="Arial" w:hAnsi="Arial" w:cs="Arial"/>
          <w:sz w:val="24"/>
          <w:szCs w:val="24"/>
        </w:rPr>
      </w:pPr>
      <w:r w:rsidRPr="00DA39E1">
        <w:rPr>
          <w:rFonts w:ascii="Arial" w:hAnsi="Arial" w:cs="Arial"/>
          <w:sz w:val="24"/>
          <w:szCs w:val="24"/>
        </w:rPr>
        <w:t>Biudžetinių įstaigų centralizuotos</w:t>
      </w:r>
      <w:r w:rsidR="002D1E69">
        <w:rPr>
          <w:rFonts w:ascii="Arial" w:hAnsi="Arial" w:cs="Arial"/>
          <w:sz w:val="24"/>
          <w:szCs w:val="24"/>
        </w:rPr>
        <w:tab/>
      </w:r>
      <w:r w:rsidR="002D1E69">
        <w:rPr>
          <w:rFonts w:ascii="Arial" w:hAnsi="Arial" w:cs="Arial"/>
          <w:sz w:val="24"/>
          <w:szCs w:val="24"/>
        </w:rPr>
        <w:tab/>
        <w:t>Vi</w:t>
      </w:r>
      <w:r w:rsidR="00854DE8">
        <w:rPr>
          <w:rFonts w:ascii="Arial" w:hAnsi="Arial" w:cs="Arial"/>
          <w:sz w:val="24"/>
          <w:szCs w:val="24"/>
        </w:rPr>
        <w:t>oleta Karbauskaitė</w:t>
      </w:r>
    </w:p>
    <w:p w14:paraId="34ACBE0D" w14:textId="2B4F9AFA" w:rsidR="003509F4" w:rsidRPr="003509F4" w:rsidRDefault="00680531" w:rsidP="00F13E77">
      <w:pPr>
        <w:widowControl w:val="0"/>
        <w:spacing w:after="0" w:line="240" w:lineRule="auto"/>
        <w:ind w:firstLine="680"/>
        <w:jc w:val="both"/>
        <w:rPr>
          <w:rFonts w:ascii="Times New Roman" w:hAnsi="Times New Roman" w:cs="Times New Roman"/>
          <w:b/>
          <w:bCs/>
          <w:sz w:val="24"/>
          <w:szCs w:val="24"/>
        </w:rPr>
      </w:pPr>
      <w:r w:rsidRPr="00DA39E1">
        <w:rPr>
          <w:rFonts w:ascii="Arial" w:hAnsi="Arial" w:cs="Arial"/>
          <w:sz w:val="24"/>
          <w:szCs w:val="24"/>
        </w:rPr>
        <w:t>apskaitos skyriaus vedėj</w:t>
      </w:r>
      <w:r w:rsidR="00854DE8">
        <w:rPr>
          <w:rFonts w:ascii="Arial" w:hAnsi="Arial" w:cs="Arial"/>
          <w:sz w:val="24"/>
          <w:szCs w:val="24"/>
        </w:rPr>
        <w:t>o pavaduotoja</w:t>
      </w:r>
      <w:r w:rsidRPr="00DA39E1">
        <w:rPr>
          <w:rFonts w:ascii="Arial" w:hAnsi="Arial" w:cs="Arial"/>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3509F4" w:rsidRPr="003509F4" w:rsidSect="009634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D01"/>
    <w:multiLevelType w:val="hybridMultilevel"/>
    <w:tmpl w:val="0C72C11E"/>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11E47921"/>
    <w:multiLevelType w:val="hybridMultilevel"/>
    <w:tmpl w:val="0C72C11E"/>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 w15:restartNumberingAfterBreak="0">
    <w:nsid w:val="183A1BDD"/>
    <w:multiLevelType w:val="hybridMultilevel"/>
    <w:tmpl w:val="CB2619E6"/>
    <w:lvl w:ilvl="0" w:tplc="4F0275C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3634C9B"/>
    <w:multiLevelType w:val="hybridMultilevel"/>
    <w:tmpl w:val="07F213BE"/>
    <w:lvl w:ilvl="0" w:tplc="ED2680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ED23132"/>
    <w:multiLevelType w:val="hybridMultilevel"/>
    <w:tmpl w:val="EE2819EC"/>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44F11852"/>
    <w:multiLevelType w:val="hybridMultilevel"/>
    <w:tmpl w:val="28907C06"/>
    <w:lvl w:ilvl="0" w:tplc="38AC7C5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1929846175">
    <w:abstractNumId w:val="4"/>
  </w:num>
  <w:num w:numId="2" w16cid:durableId="1357661330">
    <w:abstractNumId w:val="0"/>
  </w:num>
  <w:num w:numId="3" w16cid:durableId="180243341">
    <w:abstractNumId w:val="1"/>
  </w:num>
  <w:num w:numId="4" w16cid:durableId="2027126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274494">
    <w:abstractNumId w:val="3"/>
  </w:num>
  <w:num w:numId="6" w16cid:durableId="1432966404">
    <w:abstractNumId w:val="5"/>
  </w:num>
  <w:num w:numId="7" w16cid:durableId="136035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F4"/>
    <w:rsid w:val="00000EF0"/>
    <w:rsid w:val="000679F5"/>
    <w:rsid w:val="000855CA"/>
    <w:rsid w:val="000A3FD8"/>
    <w:rsid w:val="000B2EF5"/>
    <w:rsid w:val="000B4D34"/>
    <w:rsid w:val="000E7EF5"/>
    <w:rsid w:val="000F47E3"/>
    <w:rsid w:val="001017E6"/>
    <w:rsid w:val="00103376"/>
    <w:rsid w:val="00121FD7"/>
    <w:rsid w:val="00171AD2"/>
    <w:rsid w:val="00187FA0"/>
    <w:rsid w:val="001C2676"/>
    <w:rsid w:val="001F35B8"/>
    <w:rsid w:val="00202F71"/>
    <w:rsid w:val="002460F6"/>
    <w:rsid w:val="00272667"/>
    <w:rsid w:val="00282AD1"/>
    <w:rsid w:val="00296EAB"/>
    <w:rsid w:val="002B0F71"/>
    <w:rsid w:val="002D1E69"/>
    <w:rsid w:val="002D6902"/>
    <w:rsid w:val="0030402A"/>
    <w:rsid w:val="00331A4B"/>
    <w:rsid w:val="0034107F"/>
    <w:rsid w:val="003509F4"/>
    <w:rsid w:val="00365B37"/>
    <w:rsid w:val="00384CDD"/>
    <w:rsid w:val="003B5482"/>
    <w:rsid w:val="003D60A6"/>
    <w:rsid w:val="003E3F8F"/>
    <w:rsid w:val="003E4EF1"/>
    <w:rsid w:val="003F2C49"/>
    <w:rsid w:val="003F5C5A"/>
    <w:rsid w:val="00407FEA"/>
    <w:rsid w:val="004865BC"/>
    <w:rsid w:val="004913F7"/>
    <w:rsid w:val="0049226F"/>
    <w:rsid w:val="00494676"/>
    <w:rsid w:val="004A333E"/>
    <w:rsid w:val="004B2DCD"/>
    <w:rsid w:val="004D3FD1"/>
    <w:rsid w:val="00500E3B"/>
    <w:rsid w:val="00523329"/>
    <w:rsid w:val="005328FE"/>
    <w:rsid w:val="00553DDF"/>
    <w:rsid w:val="005622D3"/>
    <w:rsid w:val="00581B4C"/>
    <w:rsid w:val="005A5A11"/>
    <w:rsid w:val="005B6F05"/>
    <w:rsid w:val="005C3DDD"/>
    <w:rsid w:val="005D0A90"/>
    <w:rsid w:val="005F3E01"/>
    <w:rsid w:val="005F6BB7"/>
    <w:rsid w:val="005F7C2E"/>
    <w:rsid w:val="00610720"/>
    <w:rsid w:val="00643D89"/>
    <w:rsid w:val="00656A1E"/>
    <w:rsid w:val="00680531"/>
    <w:rsid w:val="00686711"/>
    <w:rsid w:val="006C1258"/>
    <w:rsid w:val="006C22ED"/>
    <w:rsid w:val="006C2372"/>
    <w:rsid w:val="006C32A4"/>
    <w:rsid w:val="006C472C"/>
    <w:rsid w:val="006C70E3"/>
    <w:rsid w:val="006E4A0B"/>
    <w:rsid w:val="007056C3"/>
    <w:rsid w:val="00707D07"/>
    <w:rsid w:val="00711CE6"/>
    <w:rsid w:val="007133CF"/>
    <w:rsid w:val="00736526"/>
    <w:rsid w:val="007705B5"/>
    <w:rsid w:val="007B5375"/>
    <w:rsid w:val="007D2577"/>
    <w:rsid w:val="007D7613"/>
    <w:rsid w:val="00806CE6"/>
    <w:rsid w:val="00822B2A"/>
    <w:rsid w:val="00854DE8"/>
    <w:rsid w:val="008750D7"/>
    <w:rsid w:val="008A06DD"/>
    <w:rsid w:val="008E6A9C"/>
    <w:rsid w:val="00900366"/>
    <w:rsid w:val="009143E2"/>
    <w:rsid w:val="0096343A"/>
    <w:rsid w:val="00984C9B"/>
    <w:rsid w:val="009856ED"/>
    <w:rsid w:val="00992C4F"/>
    <w:rsid w:val="009C78E3"/>
    <w:rsid w:val="009E1394"/>
    <w:rsid w:val="009E2B64"/>
    <w:rsid w:val="009E777F"/>
    <w:rsid w:val="00A45D55"/>
    <w:rsid w:val="00A528E2"/>
    <w:rsid w:val="00A52941"/>
    <w:rsid w:val="00A702C8"/>
    <w:rsid w:val="00A82BC6"/>
    <w:rsid w:val="00A96674"/>
    <w:rsid w:val="00AA4471"/>
    <w:rsid w:val="00AD13BC"/>
    <w:rsid w:val="00B13715"/>
    <w:rsid w:val="00B27432"/>
    <w:rsid w:val="00BB243B"/>
    <w:rsid w:val="00BB2B1B"/>
    <w:rsid w:val="00BB7DB9"/>
    <w:rsid w:val="00C000C3"/>
    <w:rsid w:val="00C33082"/>
    <w:rsid w:val="00C96519"/>
    <w:rsid w:val="00CB15CB"/>
    <w:rsid w:val="00CB2652"/>
    <w:rsid w:val="00D05EB3"/>
    <w:rsid w:val="00D13284"/>
    <w:rsid w:val="00D26ECE"/>
    <w:rsid w:val="00D3165B"/>
    <w:rsid w:val="00D42ABB"/>
    <w:rsid w:val="00D6369C"/>
    <w:rsid w:val="00D64781"/>
    <w:rsid w:val="00D84738"/>
    <w:rsid w:val="00DA39E1"/>
    <w:rsid w:val="00DA69D4"/>
    <w:rsid w:val="00DC61C5"/>
    <w:rsid w:val="00DE2118"/>
    <w:rsid w:val="00DE658B"/>
    <w:rsid w:val="00E2688E"/>
    <w:rsid w:val="00EC3462"/>
    <w:rsid w:val="00EE43B0"/>
    <w:rsid w:val="00F02985"/>
    <w:rsid w:val="00F13E77"/>
    <w:rsid w:val="00F334DE"/>
    <w:rsid w:val="00F464E9"/>
    <w:rsid w:val="00F54E5E"/>
    <w:rsid w:val="00F614DF"/>
    <w:rsid w:val="00F65748"/>
    <w:rsid w:val="00FC1119"/>
    <w:rsid w:val="00FF6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2AF5"/>
  <w15:chartTrackingRefBased/>
  <w15:docId w15:val="{27A71764-903D-45A4-ABF3-1E6E7DC5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70E3"/>
    <w:pPr>
      <w:ind w:left="720"/>
      <w:contextualSpacing/>
    </w:pPr>
  </w:style>
  <w:style w:type="table" w:styleId="Lentelstinklelis">
    <w:name w:val="Table Grid"/>
    <w:basedOn w:val="prastojilentel"/>
    <w:uiPriority w:val="39"/>
    <w:rsid w:val="00FF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E2B64"/>
    <w:pPr>
      <w:spacing w:after="0" w:line="240" w:lineRule="auto"/>
    </w:pPr>
  </w:style>
  <w:style w:type="paragraph" w:customStyle="1" w:styleId="v1msonormal">
    <w:name w:val="v1msonormal"/>
    <w:basedOn w:val="prastasis"/>
    <w:rsid w:val="00DE658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196">
      <w:bodyDiv w:val="1"/>
      <w:marLeft w:val="0"/>
      <w:marRight w:val="0"/>
      <w:marTop w:val="0"/>
      <w:marBottom w:val="0"/>
      <w:divBdr>
        <w:top w:val="none" w:sz="0" w:space="0" w:color="auto"/>
        <w:left w:val="none" w:sz="0" w:space="0" w:color="auto"/>
        <w:bottom w:val="none" w:sz="0" w:space="0" w:color="auto"/>
        <w:right w:val="none" w:sz="0" w:space="0" w:color="auto"/>
      </w:divBdr>
    </w:div>
    <w:div w:id="74592851">
      <w:bodyDiv w:val="1"/>
      <w:marLeft w:val="0"/>
      <w:marRight w:val="0"/>
      <w:marTop w:val="0"/>
      <w:marBottom w:val="0"/>
      <w:divBdr>
        <w:top w:val="none" w:sz="0" w:space="0" w:color="auto"/>
        <w:left w:val="none" w:sz="0" w:space="0" w:color="auto"/>
        <w:bottom w:val="none" w:sz="0" w:space="0" w:color="auto"/>
        <w:right w:val="none" w:sz="0" w:space="0" w:color="auto"/>
      </w:divBdr>
    </w:div>
    <w:div w:id="144663439">
      <w:bodyDiv w:val="1"/>
      <w:marLeft w:val="0"/>
      <w:marRight w:val="0"/>
      <w:marTop w:val="0"/>
      <w:marBottom w:val="0"/>
      <w:divBdr>
        <w:top w:val="none" w:sz="0" w:space="0" w:color="auto"/>
        <w:left w:val="none" w:sz="0" w:space="0" w:color="auto"/>
        <w:bottom w:val="none" w:sz="0" w:space="0" w:color="auto"/>
        <w:right w:val="none" w:sz="0" w:space="0" w:color="auto"/>
      </w:divBdr>
    </w:div>
    <w:div w:id="212549858">
      <w:bodyDiv w:val="1"/>
      <w:marLeft w:val="0"/>
      <w:marRight w:val="0"/>
      <w:marTop w:val="0"/>
      <w:marBottom w:val="0"/>
      <w:divBdr>
        <w:top w:val="none" w:sz="0" w:space="0" w:color="auto"/>
        <w:left w:val="none" w:sz="0" w:space="0" w:color="auto"/>
        <w:bottom w:val="none" w:sz="0" w:space="0" w:color="auto"/>
        <w:right w:val="none" w:sz="0" w:space="0" w:color="auto"/>
      </w:divBdr>
    </w:div>
    <w:div w:id="917984216">
      <w:bodyDiv w:val="1"/>
      <w:marLeft w:val="0"/>
      <w:marRight w:val="0"/>
      <w:marTop w:val="0"/>
      <w:marBottom w:val="0"/>
      <w:divBdr>
        <w:top w:val="none" w:sz="0" w:space="0" w:color="auto"/>
        <w:left w:val="none" w:sz="0" w:space="0" w:color="auto"/>
        <w:bottom w:val="none" w:sz="0" w:space="0" w:color="auto"/>
        <w:right w:val="none" w:sz="0" w:space="0" w:color="auto"/>
      </w:divBdr>
    </w:div>
    <w:div w:id="1179198036">
      <w:bodyDiv w:val="1"/>
      <w:marLeft w:val="0"/>
      <w:marRight w:val="0"/>
      <w:marTop w:val="0"/>
      <w:marBottom w:val="0"/>
      <w:divBdr>
        <w:top w:val="none" w:sz="0" w:space="0" w:color="auto"/>
        <w:left w:val="none" w:sz="0" w:space="0" w:color="auto"/>
        <w:bottom w:val="none" w:sz="0" w:space="0" w:color="auto"/>
        <w:right w:val="none" w:sz="0" w:space="0" w:color="auto"/>
      </w:divBdr>
    </w:div>
    <w:div w:id="1583101943">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737849214">
      <w:bodyDiv w:val="1"/>
      <w:marLeft w:val="0"/>
      <w:marRight w:val="0"/>
      <w:marTop w:val="0"/>
      <w:marBottom w:val="0"/>
      <w:divBdr>
        <w:top w:val="none" w:sz="0" w:space="0" w:color="auto"/>
        <w:left w:val="none" w:sz="0" w:space="0" w:color="auto"/>
        <w:bottom w:val="none" w:sz="0" w:space="0" w:color="auto"/>
        <w:right w:val="none" w:sz="0" w:space="0" w:color="auto"/>
      </w:divBdr>
      <w:divsChild>
        <w:div w:id="568003504">
          <w:marLeft w:val="0"/>
          <w:marRight w:val="0"/>
          <w:marTop w:val="0"/>
          <w:marBottom w:val="0"/>
          <w:divBdr>
            <w:top w:val="none" w:sz="0" w:space="0" w:color="auto"/>
            <w:left w:val="none" w:sz="0" w:space="0" w:color="auto"/>
            <w:bottom w:val="none" w:sz="0" w:space="0" w:color="auto"/>
            <w:right w:val="none" w:sz="0" w:space="0" w:color="auto"/>
          </w:divBdr>
        </w:div>
        <w:div w:id="1414276656">
          <w:marLeft w:val="0"/>
          <w:marRight w:val="0"/>
          <w:marTop w:val="0"/>
          <w:marBottom w:val="0"/>
          <w:divBdr>
            <w:top w:val="none" w:sz="0" w:space="0" w:color="auto"/>
            <w:left w:val="none" w:sz="0" w:space="0" w:color="auto"/>
            <w:bottom w:val="none" w:sz="0" w:space="0" w:color="auto"/>
            <w:right w:val="none" w:sz="0" w:space="0" w:color="auto"/>
          </w:divBdr>
          <w:divsChild>
            <w:div w:id="1479028823">
              <w:marLeft w:val="0"/>
              <w:marRight w:val="0"/>
              <w:marTop w:val="0"/>
              <w:marBottom w:val="0"/>
              <w:divBdr>
                <w:top w:val="none" w:sz="0" w:space="0" w:color="auto"/>
                <w:left w:val="none" w:sz="0" w:space="0" w:color="auto"/>
                <w:bottom w:val="none" w:sz="0" w:space="0" w:color="auto"/>
                <w:right w:val="none" w:sz="0" w:space="0" w:color="auto"/>
              </w:divBdr>
            </w:div>
            <w:div w:id="314064912">
              <w:marLeft w:val="0"/>
              <w:marRight w:val="0"/>
              <w:marTop w:val="0"/>
              <w:marBottom w:val="0"/>
              <w:divBdr>
                <w:top w:val="none" w:sz="0" w:space="0" w:color="auto"/>
                <w:left w:val="none" w:sz="0" w:space="0" w:color="auto"/>
                <w:bottom w:val="none" w:sz="0" w:space="0" w:color="auto"/>
                <w:right w:val="none" w:sz="0" w:space="0" w:color="auto"/>
              </w:divBdr>
            </w:div>
            <w:div w:id="1065034046">
              <w:marLeft w:val="0"/>
              <w:marRight w:val="0"/>
              <w:marTop w:val="0"/>
              <w:marBottom w:val="0"/>
              <w:divBdr>
                <w:top w:val="none" w:sz="0" w:space="0" w:color="auto"/>
                <w:left w:val="none" w:sz="0" w:space="0" w:color="auto"/>
                <w:bottom w:val="none" w:sz="0" w:space="0" w:color="auto"/>
                <w:right w:val="none" w:sz="0" w:space="0" w:color="auto"/>
              </w:divBdr>
            </w:div>
          </w:divsChild>
        </w:div>
        <w:div w:id="220676290">
          <w:marLeft w:val="0"/>
          <w:marRight w:val="0"/>
          <w:marTop w:val="0"/>
          <w:marBottom w:val="0"/>
          <w:divBdr>
            <w:top w:val="none" w:sz="0" w:space="0" w:color="auto"/>
            <w:left w:val="none" w:sz="0" w:space="0" w:color="auto"/>
            <w:bottom w:val="none" w:sz="0" w:space="0" w:color="auto"/>
            <w:right w:val="none" w:sz="0" w:space="0" w:color="auto"/>
          </w:divBdr>
        </w:div>
        <w:div w:id="1909489462">
          <w:marLeft w:val="0"/>
          <w:marRight w:val="0"/>
          <w:marTop w:val="0"/>
          <w:marBottom w:val="0"/>
          <w:divBdr>
            <w:top w:val="none" w:sz="0" w:space="0" w:color="auto"/>
            <w:left w:val="none" w:sz="0" w:space="0" w:color="auto"/>
            <w:bottom w:val="none" w:sz="0" w:space="0" w:color="auto"/>
            <w:right w:val="none" w:sz="0" w:space="0" w:color="auto"/>
          </w:divBdr>
        </w:div>
        <w:div w:id="1990354953">
          <w:marLeft w:val="0"/>
          <w:marRight w:val="0"/>
          <w:marTop w:val="0"/>
          <w:marBottom w:val="0"/>
          <w:divBdr>
            <w:top w:val="none" w:sz="0" w:space="0" w:color="auto"/>
            <w:left w:val="none" w:sz="0" w:space="0" w:color="auto"/>
            <w:bottom w:val="none" w:sz="0" w:space="0" w:color="auto"/>
            <w:right w:val="none" w:sz="0" w:space="0" w:color="auto"/>
          </w:divBdr>
        </w:div>
        <w:div w:id="1258515670">
          <w:marLeft w:val="0"/>
          <w:marRight w:val="0"/>
          <w:marTop w:val="0"/>
          <w:marBottom w:val="0"/>
          <w:divBdr>
            <w:top w:val="none" w:sz="0" w:space="0" w:color="auto"/>
            <w:left w:val="none" w:sz="0" w:space="0" w:color="auto"/>
            <w:bottom w:val="none" w:sz="0" w:space="0" w:color="auto"/>
            <w:right w:val="none" w:sz="0" w:space="0" w:color="auto"/>
          </w:divBdr>
        </w:div>
      </w:divsChild>
    </w:div>
    <w:div w:id="1908763759">
      <w:bodyDiv w:val="1"/>
      <w:marLeft w:val="0"/>
      <w:marRight w:val="0"/>
      <w:marTop w:val="0"/>
      <w:marBottom w:val="0"/>
      <w:divBdr>
        <w:top w:val="none" w:sz="0" w:space="0" w:color="auto"/>
        <w:left w:val="none" w:sz="0" w:space="0" w:color="auto"/>
        <w:bottom w:val="none" w:sz="0" w:space="0" w:color="auto"/>
        <w:right w:val="none" w:sz="0" w:space="0" w:color="auto"/>
      </w:divBdr>
    </w:div>
    <w:div w:id="21398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4295</Words>
  <Characters>2449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Balsiene</dc:creator>
  <cp:keywords/>
  <dc:description/>
  <cp:lastModifiedBy>Renata Zažeckienė</cp:lastModifiedBy>
  <cp:revision>10</cp:revision>
  <dcterms:created xsi:type="dcterms:W3CDTF">2026-04-14T13:43:00Z</dcterms:created>
  <dcterms:modified xsi:type="dcterms:W3CDTF">2026-04-15T06:28:00Z</dcterms:modified>
</cp:coreProperties>
</file>